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DCAA" w14:textId="250ACC40" w:rsidR="002F6BE3" w:rsidRDefault="00644C2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WG2 Meeting #123-bis</w:t>
      </w:r>
      <w:r>
        <w:rPr>
          <w:b/>
          <w:sz w:val="24"/>
        </w:rPr>
        <w:tab/>
      </w:r>
      <w:r w:rsidR="00572637" w:rsidRPr="00572637">
        <w:rPr>
          <w:b/>
          <w:sz w:val="24"/>
        </w:rPr>
        <w:t>R2-2310714</w:t>
      </w:r>
    </w:p>
    <w:p w14:paraId="15692DEB" w14:textId="045EEEDE" w:rsidR="002F6BE3" w:rsidRDefault="00644C2E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r>
        <w:rPr>
          <w:b/>
          <w:sz w:val="24"/>
        </w:rPr>
        <w:t>Xiamen, China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 w:rsidR="00572637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October, 2023</w:t>
      </w:r>
    </w:p>
    <w:p w14:paraId="7F1340C5" w14:textId="77777777" w:rsidR="002F6BE3" w:rsidRDefault="002F6BE3">
      <w:pPr>
        <w:pStyle w:val="3GPPHeader"/>
        <w:rPr>
          <w:lang w:eastAsia="en-US"/>
        </w:rPr>
      </w:pPr>
    </w:p>
    <w:p w14:paraId="20A8D2CF" w14:textId="77777777" w:rsidR="002F6BE3" w:rsidRDefault="00644C2E">
      <w:pPr>
        <w:pStyle w:val="3GPPHeader"/>
        <w:tabs>
          <w:tab w:val="clear" w:pos="1701"/>
          <w:tab w:val="left" w:pos="1815"/>
        </w:tabs>
        <w:rPr>
          <w:lang w:eastAsia="en-US"/>
        </w:rPr>
      </w:pPr>
      <w:r>
        <w:rPr>
          <w:lang w:eastAsia="en-US"/>
        </w:rPr>
        <w:t>Agenda Item:</w:t>
      </w:r>
      <w:r>
        <w:rPr>
          <w:lang w:eastAsia="en-US"/>
        </w:rPr>
        <w:tab/>
        <w:t>7.11.3</w:t>
      </w:r>
      <w:r>
        <w:rPr>
          <w:lang w:eastAsia="en-US"/>
        </w:rPr>
        <w:tab/>
      </w:r>
    </w:p>
    <w:p w14:paraId="07AC11D0" w14:textId="77777777" w:rsidR="002F6BE3" w:rsidRDefault="00644C2E">
      <w:pPr>
        <w:pStyle w:val="3GPPHeader"/>
        <w:tabs>
          <w:tab w:val="clear" w:pos="1701"/>
          <w:tab w:val="left" w:pos="1815"/>
        </w:tabs>
        <w:rPr>
          <w:lang w:eastAsia="en-US"/>
        </w:rPr>
      </w:pPr>
      <w:r>
        <w:rPr>
          <w:lang w:eastAsia="en-US"/>
        </w:rPr>
        <w:t>Source:</w:t>
      </w:r>
      <w:r>
        <w:rPr>
          <w:lang w:eastAsia="en-US"/>
        </w:rPr>
        <w:tab/>
        <w:t>Huawei, HiSilicon</w:t>
      </w:r>
    </w:p>
    <w:p w14:paraId="6F341E65" w14:textId="77777777" w:rsidR="002F6BE3" w:rsidRDefault="00644C2E">
      <w:pPr>
        <w:pStyle w:val="3GPPHeader"/>
        <w:tabs>
          <w:tab w:val="clear" w:pos="1701"/>
          <w:tab w:val="left" w:pos="1815"/>
        </w:tabs>
        <w:rPr>
          <w:lang w:eastAsia="en-US"/>
        </w:rPr>
      </w:pPr>
      <w:r>
        <w:rPr>
          <w:lang w:eastAsia="en-US"/>
        </w:rPr>
        <w:t>Title:</w:t>
      </w:r>
      <w:r>
        <w:rPr>
          <w:lang w:eastAsia="en-US"/>
        </w:rPr>
        <w:tab/>
        <w:t>Discussion on shared processing for MBS broadcast and unicast reception</w:t>
      </w:r>
    </w:p>
    <w:p w14:paraId="3D7EED9F" w14:textId="77777777" w:rsidR="002F6BE3" w:rsidRDefault="00644C2E">
      <w:pPr>
        <w:pStyle w:val="3GPPHeader"/>
        <w:rPr>
          <w:lang w:eastAsia="en-US"/>
        </w:rPr>
      </w:pPr>
      <w:r>
        <w:rPr>
          <w:lang w:eastAsia="en-US"/>
        </w:rPr>
        <w:t>Document for:   Discussion and decision</w:t>
      </w:r>
    </w:p>
    <w:p w14:paraId="496EBA03" w14:textId="77777777" w:rsidR="002F6BE3" w:rsidRDefault="00644C2E">
      <w:pPr>
        <w:pStyle w:val="1"/>
        <w:rPr>
          <w:rFonts w:eastAsia="Malgun Gothic"/>
        </w:rPr>
      </w:pPr>
      <w:r>
        <w:rPr>
          <w:rFonts w:eastAsia="Malgun Gothic"/>
        </w:rPr>
        <w:t>Introduction</w:t>
      </w:r>
    </w:p>
    <w:p w14:paraId="37E2E958" w14:textId="0889F54A" w:rsidR="002F6BE3" w:rsidRDefault="00644C2E">
      <w:r>
        <w:t xml:space="preserve">In the RAN2#123 meeting, we </w:t>
      </w:r>
      <w:r>
        <w:rPr>
          <w:rFonts w:hint="eastAsia"/>
        </w:rPr>
        <w:t>made</w:t>
      </w:r>
      <w:r>
        <w:t xml:space="preserve"> </w:t>
      </w:r>
      <w:r>
        <w:t xml:space="preserve">the </w:t>
      </w:r>
      <w:r>
        <w:t>following FFS for shared processing</w:t>
      </w:r>
      <w:r>
        <w:t xml:space="preserve"> </w:t>
      </w:r>
      <w:r>
        <w:t xml:space="preserve">[1]: </w:t>
      </w:r>
    </w:p>
    <w:tbl>
      <w:tblPr>
        <w:tblStyle w:val="af1"/>
        <w:tblW w:w="9493" w:type="dxa"/>
        <w:tblLayout w:type="fixed"/>
        <w:tblLook w:val="04A0" w:firstRow="1" w:lastRow="0" w:firstColumn="1" w:lastColumn="0" w:noHBand="0" w:noVBand="1"/>
      </w:tblPr>
      <w:tblGrid>
        <w:gridCol w:w="9493"/>
      </w:tblGrid>
      <w:tr w:rsidR="002F6BE3" w14:paraId="0F58CA8C" w14:textId="77777777">
        <w:tc>
          <w:tcPr>
            <w:tcW w:w="9493" w:type="dxa"/>
          </w:tcPr>
          <w:p w14:paraId="171EB029" w14:textId="77777777" w:rsidR="002F6BE3" w:rsidRDefault="00644C2E">
            <w:pPr>
              <w:pStyle w:val="af4"/>
              <w:numPr>
                <w:ilvl w:val="0"/>
                <w:numId w:val="4"/>
              </w:numPr>
              <w:rPr>
                <w:rFonts w:ascii="CG Times (WN)" w:eastAsia="MS Mincho" w:hAnsi="CG Times (WN)" w:cs="Times New Roman"/>
                <w:b/>
                <w:sz w:val="20"/>
                <w:szCs w:val="24"/>
                <w:lang w:val="en-GB" w:eastAsia="en-GB"/>
              </w:rPr>
            </w:pPr>
            <w:r>
              <w:rPr>
                <w:rFonts w:ascii="CG Times (WN)" w:eastAsia="MS Mincho" w:hAnsi="CG Times (WN)" w:cs="Times New Roman"/>
                <w:b/>
                <w:sz w:val="20"/>
                <w:szCs w:val="24"/>
                <w:lang w:val="en-GB" w:eastAsia="en-GB"/>
              </w:rPr>
              <w:t xml:space="preserve">At least CFR bandwidth is reported by the UE in MII. FFS whether “location” needs to be also reported and how exactly this is captured in RRC (i.e. which </w:t>
            </w:r>
            <w:r>
              <w:rPr>
                <w:rFonts w:ascii="CG Times (WN)" w:eastAsia="MS Mincho" w:hAnsi="CG Times (WN)" w:cs="Times New Roman"/>
                <w:b/>
                <w:sz w:val="20"/>
                <w:szCs w:val="24"/>
                <w:lang w:val="en-GB" w:eastAsia="en-GB"/>
              </w:rPr>
              <w:t>IE is used).</w:t>
            </w:r>
          </w:p>
        </w:tc>
      </w:tr>
    </w:tbl>
    <w:p w14:paraId="5C5F126F" w14:textId="2F93D27A" w:rsidR="002F6BE3" w:rsidRDefault="00644C2E">
      <w:pPr>
        <w:spacing w:beforeLines="50" w:before="120"/>
      </w:pPr>
      <w:r>
        <w:t>In this contribution, we discuss the above FFS issue from the last meeting</w:t>
      </w:r>
      <w:r>
        <w:rPr>
          <w:bCs/>
        </w:rPr>
        <w:t>, and further analyse shared processing capability reporting for inter-PLMN scenario</w:t>
      </w:r>
      <w:r>
        <w:rPr>
          <w:bCs/>
        </w:rPr>
        <w:t>.</w:t>
      </w:r>
    </w:p>
    <w:p w14:paraId="4653014B" w14:textId="77777777" w:rsidR="002F6BE3" w:rsidRDefault="00644C2E">
      <w:pPr>
        <w:pStyle w:val="1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79657355" w14:textId="1DFF44DD" w:rsidR="002F6BE3" w:rsidRDefault="00644C2E">
      <w:r>
        <w:t>In previ</w:t>
      </w:r>
      <w:r>
        <w:t>ous meeting</w:t>
      </w:r>
      <w:r>
        <w:t>s</w:t>
      </w:r>
      <w:r>
        <w:t xml:space="preserve">, it was agreed that frequency/SCS/CFR bandwidth of the non-serving cell will be included in MII. First, we would like to share our understanding on how the MII is used in serving </w:t>
      </w:r>
      <w:proofErr w:type="spellStart"/>
      <w:r>
        <w:t>gNB</w:t>
      </w:r>
      <w:proofErr w:type="spellEnd"/>
      <w:r>
        <w:t xml:space="preserve">. In our view, based on the reported MII, the serving </w:t>
      </w:r>
      <w:proofErr w:type="spellStart"/>
      <w:r>
        <w:t>g</w:t>
      </w:r>
      <w:r>
        <w:rPr>
          <w:rFonts w:hint="eastAsia"/>
        </w:rPr>
        <w:t>NB</w:t>
      </w:r>
      <w:proofErr w:type="spellEnd"/>
      <w:r>
        <w:t xml:space="preserve"> can determine which FSPC can be used for broadcast reception of the non-serving cell. That is, the FSPC which supports non-serving cell broadcast reception, and the corresponding frequency band/SCS/CC BW capability is compatible for broadcast reception </w:t>
      </w:r>
      <w:r>
        <w:t xml:space="preserve">according to the reported frequency/SCS/BW in the MII. Based on this, the serving </w:t>
      </w:r>
      <w:proofErr w:type="spellStart"/>
      <w:r>
        <w:t>gNB</w:t>
      </w:r>
      <w:proofErr w:type="spellEnd"/>
      <w:r>
        <w:t xml:space="preserve"> can enable simultaneous unicast/multicast and broadcast reception by</w:t>
      </w:r>
      <w:r>
        <w:t>, e.g. releas</w:t>
      </w:r>
      <w:r>
        <w:t>ing</w:t>
      </w:r>
      <w:r>
        <w:t xml:space="preserve"> the </w:t>
      </w:r>
      <w:proofErr w:type="spellStart"/>
      <w:r>
        <w:t>SCell</w:t>
      </w:r>
      <w:proofErr w:type="spellEnd"/>
      <w:r>
        <w:t xml:space="preserve"> related to the FSPC used for broadcast reception (e.g.</w:t>
      </w:r>
      <w:r>
        <w:t xml:space="preserve"> FS4 in Figure-1), and schedul</w:t>
      </w:r>
      <w:r>
        <w:t>ing</w:t>
      </w:r>
      <w:r>
        <w:t xml:space="preserve"> unicast/multicast according to the remaining FS </w:t>
      </w:r>
      <w:proofErr w:type="gramStart"/>
      <w:r>
        <w:t>capability(</w:t>
      </w:r>
      <w:proofErr w:type="gramEnd"/>
      <w:r>
        <w:t xml:space="preserve">e.g. FS1 and FS3 in the second line in Figure-1). </w:t>
      </w:r>
    </w:p>
    <w:p w14:paraId="695484F7" w14:textId="77777777" w:rsidR="002F6BE3" w:rsidRDefault="00644C2E">
      <w:pPr>
        <w:jc w:val="center"/>
      </w:pPr>
      <w:r>
        <w:rPr>
          <w:noProof/>
        </w:rPr>
        <w:drawing>
          <wp:inline distT="0" distB="0" distL="0" distR="0">
            <wp:extent cx="3285490" cy="1728470"/>
            <wp:effectExtent l="0" t="0" r="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1774" cy="173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DF84E" w14:textId="77777777" w:rsidR="002F6BE3" w:rsidRDefault="00644C2E">
      <w:pPr>
        <w:jc w:val="center"/>
      </w:pPr>
      <w:r>
        <w:t>Figure-1 BC and FSC for unicast in serving cell(s) and broadcast in non-serving cell(s)</w:t>
      </w:r>
    </w:p>
    <w:p w14:paraId="7DABBCD9" w14:textId="77777777" w:rsidR="002F6BE3" w:rsidRDefault="00644C2E">
      <w:pPr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1: The s</w:t>
      </w:r>
      <w:r>
        <w:rPr>
          <w:b/>
        </w:rPr>
        <w:t xml:space="preserve">erving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determines which FSPC can be used for broadcast reception of non-serving cell according to the MII.</w:t>
      </w:r>
    </w:p>
    <w:p w14:paraId="4078BBFB" w14:textId="4E2E0CB8" w:rsidR="002F6BE3" w:rsidRDefault="00644C2E">
      <w:r>
        <w:t xml:space="preserve">In </w:t>
      </w:r>
      <w:r>
        <w:t xml:space="preserve">the </w:t>
      </w:r>
      <w:r>
        <w:t>last meeting, it was agreed that at least the CFR bandwidth will be reported in MII, and FFS whether “location” is needed. In our view, th</w:t>
      </w:r>
      <w:r>
        <w:t xml:space="preserve">is “location” </w:t>
      </w:r>
      <w:r w:rsidR="00572637">
        <w:t>refers to the</w:t>
      </w:r>
      <w:r>
        <w:t xml:space="preserve"> frequency location of CFR.</w:t>
      </w:r>
      <w:r>
        <w:t xml:space="preserve"> </w:t>
      </w:r>
    </w:p>
    <w:p w14:paraId="700C23BA" w14:textId="77777777" w:rsidR="002F6BE3" w:rsidRDefault="00644C2E">
      <w:r>
        <w:t xml:space="preserve">In </w:t>
      </w:r>
      <w:r>
        <w:t xml:space="preserve">the </w:t>
      </w:r>
      <w:r>
        <w:t xml:space="preserve">current spec, the CFR for broadcast reception is indicated as follows. </w:t>
      </w:r>
    </w:p>
    <w:p w14:paraId="1CC38F82" w14:textId="77777777" w:rsidR="002F6BE3" w:rsidRDefault="00644C2E">
      <w:pPr>
        <w:keepNext/>
        <w:keepLines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>
        <w:rPr>
          <w:rFonts w:ascii="Arial" w:eastAsia="Times New Roman" w:hAnsi="Arial"/>
          <w:b/>
          <w:bCs/>
          <w:i/>
          <w:iCs/>
        </w:rPr>
        <w:t>CFR-</w:t>
      </w:r>
      <w:proofErr w:type="spellStart"/>
      <w:r>
        <w:rPr>
          <w:rFonts w:ascii="Arial" w:eastAsia="Times New Roman" w:hAnsi="Arial"/>
          <w:b/>
          <w:i/>
          <w:iCs/>
          <w:lang w:eastAsia="ja-JP"/>
        </w:rPr>
        <w:t>ConfigMCCH</w:t>
      </w:r>
      <w:proofErr w:type="spellEnd"/>
      <w:r>
        <w:rPr>
          <w:rFonts w:ascii="Arial" w:eastAsia="Times New Roman" w:hAnsi="Arial"/>
          <w:b/>
          <w:bCs/>
          <w:i/>
          <w:iCs/>
        </w:rPr>
        <w:t>-MTCH</w:t>
      </w:r>
      <w:r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>
        <w:rPr>
          <w:rFonts w:ascii="Arial" w:eastAsia="Times New Roman" w:hAnsi="Arial"/>
          <w:b/>
          <w:lang w:eastAsia="ja-JP"/>
        </w:rPr>
        <w:t>information element</w:t>
      </w:r>
    </w:p>
    <w:p w14:paraId="1565284D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4C7BCAE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TAG-CFR-CONFIGMCCH-MTCH-START</w:t>
      </w:r>
    </w:p>
    <w:p w14:paraId="5D9E4D94" w14:textId="77777777" w:rsidR="002F6BE3" w:rsidRDefault="002F6B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D1315F6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>CFR-ConfigMCCH-MTCH-r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03E4720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sz w:val="16"/>
          <w:highlight w:val="yellow"/>
          <w:lang w:eastAsia="en-GB"/>
        </w:rPr>
        <w:t xml:space="preserve">locationAndBandwidthBroadcast-r17        </w:t>
      </w:r>
      <w:proofErr w:type="spellStart"/>
      <w:r>
        <w:rPr>
          <w:rFonts w:ascii="Courier New" w:eastAsia="Times New Roman" w:hAnsi="Courier New"/>
          <w:sz w:val="16"/>
          <w:highlight w:val="yellow"/>
          <w:lang w:eastAsia="en-GB"/>
        </w:rPr>
        <w:t>LocationAndBandwidthBroadcast-r</w:t>
      </w:r>
      <w:proofErr w:type="gramStart"/>
      <w:r>
        <w:rPr>
          <w:rFonts w:ascii="Courier New" w:eastAsia="Times New Roman" w:hAnsi="Courier New"/>
          <w:sz w:val="16"/>
          <w:highlight w:val="yellow"/>
          <w:lang w:eastAsia="en-GB"/>
        </w:rPr>
        <w:t>17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703B5869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pdsch-ConfigMCCH-r17                     PDSCH-ConfigBroadcast-r17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Need S</w:t>
      </w:r>
    </w:p>
    <w:p w14:paraId="2FBBA06B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commonControlResourceSetExt-r17        </w:t>
      </w:r>
      <w:r>
        <w:rPr>
          <w:rFonts w:ascii="Courier New" w:eastAsia="Times New Roman" w:hAnsi="Courier New"/>
          <w:sz w:val="16"/>
          <w:lang w:eastAsia="en-GB"/>
        </w:rPr>
        <w:t xml:space="preserve">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ControlResourceSet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NotSIB1CommonControlResource</w:t>
      </w:r>
    </w:p>
    <w:p w14:paraId="4C05FCDE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1CC29BE1" w14:textId="77777777" w:rsidR="002F6BE3" w:rsidRDefault="002F6B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0E2C84C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LocationAndBandwidthBroadcast-r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72B0957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sameAsSib1ConfiguredLocationAndBW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591220A7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locationAndBandwidth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37949)</w:t>
      </w:r>
    </w:p>
    <w:p w14:paraId="277B7C8A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476573C1" w14:textId="77777777" w:rsidR="002F6BE3" w:rsidRDefault="002F6B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A1680BE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TAG-CFR-CONFIGMCCH-MTCH-STOP</w:t>
      </w:r>
    </w:p>
    <w:p w14:paraId="6C55B364" w14:textId="77777777" w:rsidR="002F6BE3" w:rsidRDefault="00644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2ECFF046" w14:textId="77777777" w:rsidR="002F6BE3" w:rsidRDefault="002F6BE3">
      <w:pPr>
        <w:spacing w:after="180"/>
        <w:jc w:val="left"/>
        <w:textAlignment w:val="baseline"/>
        <w:rPr>
          <w:rFonts w:eastAsia="Times New Roman"/>
          <w:lang w:eastAsia="ja-JP"/>
        </w:rPr>
      </w:pPr>
    </w:p>
    <w:tbl>
      <w:tblPr>
        <w:tblW w:w="95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580"/>
      </w:tblGrid>
      <w:tr w:rsidR="002F6BE3" w14:paraId="3F902C7F" w14:textId="77777777">
        <w:trPr>
          <w:cantSplit/>
          <w:trHeight w:val="176"/>
          <w:tblHeader/>
        </w:trPr>
        <w:tc>
          <w:tcPr>
            <w:tcW w:w="9580" w:type="dxa"/>
          </w:tcPr>
          <w:p w14:paraId="7A418B76" w14:textId="77777777" w:rsidR="002F6BE3" w:rsidRDefault="00644C2E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b/>
                <w:i/>
                <w:iCs/>
                <w:sz w:val="18"/>
              </w:rPr>
              <w:t>CFR-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ConfigMCCH</w:t>
            </w:r>
            <w:proofErr w:type="spellEnd"/>
            <w:r>
              <w:rPr>
                <w:rFonts w:ascii="Arial" w:eastAsia="Times New Roman" w:hAnsi="Arial"/>
                <w:b/>
                <w:i/>
                <w:iCs/>
                <w:sz w:val="18"/>
              </w:rPr>
              <w:t xml:space="preserve">-MTCH </w:t>
            </w:r>
            <w:r>
              <w:rPr>
                <w:rFonts w:ascii="Arial" w:eastAsia="Times New Roman" w:hAnsi="Arial"/>
                <w:b/>
                <w:iCs/>
                <w:sz w:val="18"/>
              </w:rPr>
              <w:t>field descriptions</w:t>
            </w:r>
          </w:p>
        </w:tc>
      </w:tr>
      <w:tr w:rsidR="002F6BE3" w14:paraId="201C717A" w14:textId="77777777">
        <w:trPr>
          <w:cantSplit/>
          <w:trHeight w:val="719"/>
          <w:tblHeader/>
        </w:trPr>
        <w:tc>
          <w:tcPr>
            <w:tcW w:w="9580" w:type="dxa"/>
          </w:tcPr>
          <w:p w14:paraId="1907DD14" w14:textId="77777777" w:rsidR="002F6BE3" w:rsidRDefault="00644C2E">
            <w:pPr>
              <w:keepNext/>
              <w:keepLines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commonControlResourceSetExt</w:t>
            </w:r>
            <w:proofErr w:type="spellEnd"/>
          </w:p>
          <w:p w14:paraId="5DB9130B" w14:textId="77777777" w:rsidR="002F6BE3" w:rsidRDefault="00644C2E">
            <w:pPr>
              <w:keepNext/>
              <w:keepLines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An additional common control resource set which may be configured and used for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searchSpaceMCCH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searchSpaceMTCH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or UE-specific search space in the BWP where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searchSpaceMCCH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is configured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. It is contained in the bandwidth of the CFR for broadcast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larger than CORESET#0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2F6BE3" w14:paraId="2023D948" w14:textId="77777777">
        <w:trPr>
          <w:cantSplit/>
          <w:trHeight w:val="1262"/>
        </w:trPr>
        <w:tc>
          <w:tcPr>
            <w:tcW w:w="9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A1F0C" w14:textId="77777777" w:rsidR="002F6BE3" w:rsidRDefault="00644C2E">
            <w:pPr>
              <w:keepNext/>
              <w:keepLines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locationAndBandwidthBroadcast</w:t>
            </w:r>
            <w:proofErr w:type="spellEnd"/>
          </w:p>
          <w:p w14:paraId="16C60560" w14:textId="77777777" w:rsidR="002F6BE3" w:rsidRDefault="00644C2E">
            <w:pPr>
              <w:keepNext/>
              <w:keepLines/>
              <w:spacing w:after="0"/>
              <w:jc w:val="left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highlight w:val="yellow"/>
                <w:lang w:eastAsia="en-GB"/>
              </w:rPr>
              <w:t>Indicates starting PRB and the number of PRBs of CFR used for M</w:t>
            </w:r>
            <w:r>
              <w:rPr>
                <w:rFonts w:ascii="Arial" w:eastAsia="Times New Roman" w:hAnsi="Arial"/>
                <w:color w:val="000000" w:themeColor="text1"/>
                <w:sz w:val="18"/>
                <w:highlight w:val="yellow"/>
                <w:lang w:eastAsia="en-GB"/>
              </w:rPr>
              <w:t>CCH and MTCH reception.</w:t>
            </w:r>
          </w:p>
          <w:p w14:paraId="45C8EAA6" w14:textId="77777777" w:rsidR="002F6BE3" w:rsidRDefault="00644C2E">
            <w:pPr>
              <w:keepNext/>
              <w:keepLines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sameAsSib1ConfiguredLocationAndBW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means the CFR for broadcast has the same location and size as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locationAndBandwidth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for initial BWP configured in SIB1.</w:t>
            </w:r>
          </w:p>
          <w:p w14:paraId="47DEB3AD" w14:textId="77777777" w:rsidR="002F6BE3" w:rsidRDefault="00644C2E">
            <w:pPr>
              <w:keepNext/>
              <w:keepLines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locationAndBandwidth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is used to configure CFR with bandwidth </w:t>
            </w:r>
            <w:r>
              <w:rPr>
                <w:rFonts w:ascii="Arial" w:eastAsia="Times New Roman" w:hAnsi="Arial"/>
                <w:sz w:val="18"/>
                <w:lang w:eastAsia="en-GB"/>
              </w:rPr>
              <w:t>that is larger than and fully contains the bandwidth for the initial DL BWP configured in SIB1 and CORESET#0.</w:t>
            </w:r>
          </w:p>
          <w:p w14:paraId="459FD7BA" w14:textId="77777777" w:rsidR="002F6BE3" w:rsidRDefault="00644C2E">
            <w:pPr>
              <w:keepNext/>
              <w:keepLines/>
              <w:spacing w:after="0"/>
              <w:jc w:val="left"/>
              <w:textAlignment w:val="baseline"/>
              <w:rPr>
                <w:rFonts w:ascii="等线" w:eastAsia="等线" w:hAnsi="等线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If the field is absent, the CFR for broadcast has the same location and size as CORESET#0.</w:t>
            </w:r>
          </w:p>
        </w:tc>
      </w:tr>
      <w:tr w:rsidR="002F6BE3" w14:paraId="49BDC6D5" w14:textId="77777777">
        <w:trPr>
          <w:cantSplit/>
          <w:trHeight w:val="528"/>
        </w:trPr>
        <w:tc>
          <w:tcPr>
            <w:tcW w:w="9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53696A" w14:textId="77777777" w:rsidR="002F6BE3" w:rsidRDefault="00644C2E">
            <w:pPr>
              <w:keepNext/>
              <w:keepLines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pdsch-ConfigMCCH</w:t>
            </w:r>
            <w:proofErr w:type="spellEnd"/>
          </w:p>
          <w:p w14:paraId="0CFFBB36" w14:textId="77777777" w:rsidR="002F6BE3" w:rsidRDefault="00644C2E">
            <w:pPr>
              <w:keepNext/>
              <w:keepLines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Indicates PDSCH parameters used for M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CCH transmission. If the field is absent, PDSCH parameters used for MCCH are the same as those of PDSCH configuration provided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initialDownlinkBWP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in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SIB1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1081A669" w14:textId="77777777" w:rsidR="002F6BE3" w:rsidRDefault="002F6BE3"/>
    <w:p w14:paraId="58D9B321" w14:textId="77777777" w:rsidR="002F6BE3" w:rsidRDefault="00644C2E">
      <w:r>
        <w:t xml:space="preserve">According to TS 38.331, the </w:t>
      </w:r>
      <w:proofErr w:type="spellStart"/>
      <w:r>
        <w:rPr>
          <w:i/>
        </w:rPr>
        <w:t>locationAndBandwidth</w:t>
      </w:r>
      <w:proofErr w:type="spellEnd"/>
      <w:r>
        <w:t xml:space="preserve"> is defined in </w:t>
      </w:r>
      <w:r>
        <w:t xml:space="preserve">the </w:t>
      </w:r>
      <w:r>
        <w:t xml:space="preserve">following way. </w:t>
      </w:r>
    </w:p>
    <w:tbl>
      <w:tblPr>
        <w:tblStyle w:val="af1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2F6BE3" w14:paraId="617281B9" w14:textId="77777777">
        <w:tc>
          <w:tcPr>
            <w:tcW w:w="9629" w:type="dxa"/>
          </w:tcPr>
          <w:p w14:paraId="32B9E08A" w14:textId="77777777" w:rsidR="002F6BE3" w:rsidRDefault="00644C2E">
            <w:pPr>
              <w:keepNext/>
              <w:keepLines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locationAndBandwidth</w:t>
            </w:r>
            <w:proofErr w:type="spellEnd"/>
          </w:p>
          <w:p w14:paraId="1FE7E906" w14:textId="77777777" w:rsidR="002F6BE3" w:rsidRDefault="00644C2E">
            <w:pPr>
              <w:rPr>
                <w:rFonts w:ascii="CG Times (WN)" w:hAnsi="CG Times (WN)"/>
              </w:rPr>
            </w:pPr>
            <w:r>
              <w:rPr>
                <w:rFonts w:eastAsia="Times New Roman"/>
                <w:szCs w:val="22"/>
                <w:lang w:eastAsia="sv-SE"/>
              </w:rPr>
              <w:t xml:space="preserve">Frequency domain location and bandwidth of this bandwidth part. </w:t>
            </w:r>
            <w:r>
              <w:rPr>
                <w:rFonts w:eastAsia="Times New Roman"/>
                <w:szCs w:val="22"/>
                <w:highlight w:val="yellow"/>
                <w:lang w:eastAsia="sv-SE"/>
              </w:rPr>
              <w:t>The value of the field shall be interpreted as resource indicator value (RIV) as defined TS 38.214 [19] with assumptions as described in TS 38.213</w:t>
            </w:r>
            <w:r>
              <w:rPr>
                <w:rFonts w:eastAsia="Times New Roman"/>
                <w:szCs w:val="22"/>
                <w:lang w:eastAsia="sv-SE"/>
              </w:rPr>
              <w:t xml:space="preserve"> [13], clause 12, i.e. setting </w:t>
            </w:r>
            <w:r>
              <w:rPr>
                <w:rFonts w:eastAsia="Times New Roman"/>
                <w:position w:val="-10"/>
                <w:lang w:eastAsia="sv-SE"/>
              </w:rPr>
              <w:object w:dxaOrig="585" w:dyaOrig="435" w14:anchorId="2B69A7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pt;height:21.7pt" o:ole="">
                  <v:imagedata r:id="rId9" o:title=""/>
                </v:shape>
                <o:OLEObject Type="Embed" ProgID="Equation.3" ShapeID="_x0000_i1025" DrawAspect="Content" ObjectID="_1757436631" r:id="rId10"/>
              </w:object>
            </w:r>
            <w:r>
              <w:rPr>
                <w:rFonts w:eastAsia="Times New Roman"/>
                <w:szCs w:val="22"/>
                <w:lang w:eastAsia="sv-SE"/>
              </w:rPr>
              <w:t xml:space="preserve">=275. </w:t>
            </w:r>
            <w:r>
              <w:rPr>
                <w:rFonts w:eastAsia="Times New Roman"/>
                <w:szCs w:val="22"/>
                <w:highlight w:val="yellow"/>
                <w:lang w:eastAsia="sv-SE"/>
              </w:rPr>
              <w:t xml:space="preserve">The first PRB is a PRB determined by </w:t>
            </w:r>
            <w:proofErr w:type="spellStart"/>
            <w:r>
              <w:rPr>
                <w:rFonts w:eastAsia="Times New Roman"/>
                <w:i/>
                <w:highlight w:val="yellow"/>
                <w:lang w:eastAsia="sv-SE"/>
              </w:rPr>
              <w:t>subcarrierSpacing</w:t>
            </w:r>
            <w:proofErr w:type="spellEnd"/>
            <w:r>
              <w:rPr>
                <w:rFonts w:eastAsia="Times New Roman"/>
                <w:szCs w:val="22"/>
                <w:highlight w:val="yellow"/>
                <w:lang w:eastAsia="sv-SE"/>
              </w:rPr>
              <w:t xml:space="preserve"> of this BWP and </w:t>
            </w:r>
            <w:proofErr w:type="spellStart"/>
            <w:r>
              <w:rPr>
                <w:rFonts w:eastAsia="Times New Roman"/>
                <w:i/>
                <w:highlight w:val="yellow"/>
                <w:lang w:eastAsia="sv-SE"/>
              </w:rPr>
              <w:t>offsetToCarrier</w:t>
            </w:r>
            <w:proofErr w:type="spellEnd"/>
            <w:r>
              <w:rPr>
                <w:rFonts w:eastAsia="Times New Roman"/>
                <w:szCs w:val="22"/>
                <w:lang w:eastAsia="sv-SE"/>
              </w:rPr>
              <w:t xml:space="preserve"> (configured in </w:t>
            </w:r>
            <w:r>
              <w:rPr>
                <w:rFonts w:eastAsia="Times New Roman"/>
                <w:i/>
                <w:lang w:eastAsia="sv-SE"/>
              </w:rPr>
              <w:t>SCS-</w:t>
            </w:r>
            <w:proofErr w:type="spellStart"/>
            <w:r>
              <w:rPr>
                <w:rFonts w:eastAsia="Times New Roman"/>
                <w:i/>
                <w:lang w:eastAsia="sv-SE"/>
              </w:rPr>
              <w:t>SpecificCarrier</w:t>
            </w:r>
            <w:proofErr w:type="spellEnd"/>
            <w:r>
              <w:rPr>
                <w:rFonts w:eastAsia="Times New Roman"/>
                <w:szCs w:val="22"/>
                <w:lang w:eastAsia="sv-SE"/>
              </w:rPr>
              <w:t xml:space="preserve"> contained within </w:t>
            </w:r>
            <w:proofErr w:type="spellStart"/>
            <w:r>
              <w:rPr>
                <w:rFonts w:eastAsia="Times New Roman"/>
                <w:i/>
                <w:lang w:eastAsia="sv-SE"/>
              </w:rPr>
              <w:t>FrequencyInfoDL</w:t>
            </w:r>
            <w:proofErr w:type="spellEnd"/>
            <w:r>
              <w:rPr>
                <w:rFonts w:eastAsia="Times New Roman"/>
                <w:szCs w:val="22"/>
                <w:lang w:eastAsia="sv-SE"/>
              </w:rPr>
              <w:t xml:space="preserve"> / </w:t>
            </w:r>
            <w:proofErr w:type="spellStart"/>
            <w:r>
              <w:rPr>
                <w:rFonts w:eastAsia="Times New Roman"/>
                <w:i/>
                <w:lang w:eastAsia="sv-SE"/>
              </w:rPr>
              <w:t>FrequencyInfoUL</w:t>
            </w:r>
            <w:proofErr w:type="spellEnd"/>
            <w:r>
              <w:rPr>
                <w:rFonts w:eastAsia="Times New Roman"/>
                <w:szCs w:val="22"/>
                <w:lang w:eastAsia="sv-SE"/>
              </w:rPr>
              <w:t xml:space="preserve"> / </w:t>
            </w:r>
            <w:proofErr w:type="spellStart"/>
            <w:r>
              <w:rPr>
                <w:rFonts w:eastAsia="Times New Roman"/>
                <w:i/>
                <w:lang w:eastAsia="sv-SE"/>
              </w:rPr>
              <w:t>FrequencyInfoUL</w:t>
            </w:r>
            <w:proofErr w:type="spellEnd"/>
            <w:r>
              <w:rPr>
                <w:rFonts w:eastAsia="Times New Roman"/>
                <w:i/>
                <w:lang w:eastAsia="sv-SE"/>
              </w:rPr>
              <w:t>-SIB</w:t>
            </w:r>
            <w:r>
              <w:rPr>
                <w:rFonts w:eastAsia="Times New Roman"/>
                <w:szCs w:val="22"/>
                <w:lang w:eastAsia="sv-SE"/>
              </w:rPr>
              <w:t xml:space="preserve"> / </w:t>
            </w:r>
            <w:proofErr w:type="spellStart"/>
            <w:r>
              <w:rPr>
                <w:rFonts w:eastAsia="Times New Roman"/>
                <w:i/>
                <w:lang w:eastAsia="sv-SE"/>
              </w:rPr>
              <w:t>FrequencyInfoDL</w:t>
            </w:r>
            <w:proofErr w:type="spellEnd"/>
            <w:r>
              <w:rPr>
                <w:rFonts w:eastAsia="Times New Roman"/>
                <w:i/>
                <w:lang w:eastAsia="sv-SE"/>
              </w:rPr>
              <w:t>-SIB</w:t>
            </w:r>
            <w:r>
              <w:rPr>
                <w:rFonts w:eastAsia="Times New Roman"/>
                <w:szCs w:val="22"/>
                <w:lang w:eastAsia="sv-SE"/>
              </w:rPr>
              <w:t xml:space="preserve"> within </w:t>
            </w:r>
            <w:proofErr w:type="spellStart"/>
            <w:r>
              <w:rPr>
                <w:rFonts w:eastAsia="Times New Roman"/>
                <w:i/>
                <w:szCs w:val="22"/>
                <w:lang w:eastAsia="sv-SE"/>
              </w:rPr>
              <w:t>ServingCellConfigCommon</w:t>
            </w:r>
            <w:proofErr w:type="spellEnd"/>
            <w:r>
              <w:rPr>
                <w:rFonts w:eastAsia="Times New Roman"/>
                <w:szCs w:val="22"/>
                <w:lang w:eastAsia="sv-SE"/>
              </w:rPr>
              <w:t xml:space="preserve"> / </w:t>
            </w:r>
            <w:proofErr w:type="spellStart"/>
            <w:r>
              <w:rPr>
                <w:rFonts w:eastAsia="Times New Roman"/>
                <w:i/>
                <w:szCs w:val="22"/>
                <w:lang w:eastAsia="sv-SE"/>
              </w:rPr>
              <w:t>ServingCellConfigCommonSIB</w:t>
            </w:r>
            <w:proofErr w:type="spellEnd"/>
            <w:r>
              <w:rPr>
                <w:rFonts w:eastAsia="Times New Roman"/>
                <w:szCs w:val="22"/>
                <w:lang w:eastAsia="sv-SE"/>
              </w:rPr>
              <w:t xml:space="preserve">) corresponding to this subcarrier spacing. In case of TDD, a BWP-pair (UL BWP and DL BWP with the same </w:t>
            </w:r>
            <w:proofErr w:type="spellStart"/>
            <w:r>
              <w:rPr>
                <w:rFonts w:eastAsia="Times New Roman"/>
                <w:i/>
                <w:lang w:eastAsia="sv-SE"/>
              </w:rPr>
              <w:t>bwp</w:t>
            </w:r>
            <w:proofErr w:type="spellEnd"/>
            <w:r>
              <w:rPr>
                <w:rFonts w:eastAsia="Times New Roman"/>
                <w:i/>
                <w:lang w:eastAsia="sv-SE"/>
              </w:rPr>
              <w:t>-Id</w:t>
            </w:r>
            <w:r>
              <w:rPr>
                <w:rFonts w:eastAsia="Times New Roman"/>
                <w:szCs w:val="22"/>
                <w:lang w:eastAsia="sv-SE"/>
              </w:rPr>
              <w:t xml:space="preserve">) must have the same </w:t>
            </w:r>
            <w:proofErr w:type="spellStart"/>
            <w:r>
              <w:rPr>
                <w:rFonts w:eastAsia="Times New Roman"/>
                <w:szCs w:val="22"/>
                <w:lang w:eastAsia="sv-SE"/>
              </w:rPr>
              <w:t>center</w:t>
            </w:r>
            <w:proofErr w:type="spellEnd"/>
            <w:r>
              <w:rPr>
                <w:rFonts w:eastAsia="Times New Roman"/>
                <w:szCs w:val="22"/>
                <w:lang w:eastAsia="sv-SE"/>
              </w:rPr>
              <w:t xml:space="preserve"> frequency (see TS 38.213 [13], clause 1</w:t>
            </w:r>
            <w:r>
              <w:rPr>
                <w:rFonts w:eastAsia="Times New Roman"/>
                <w:szCs w:val="22"/>
                <w:lang w:eastAsia="sv-SE"/>
              </w:rPr>
              <w:t>2)</w:t>
            </w:r>
          </w:p>
        </w:tc>
      </w:tr>
    </w:tbl>
    <w:p w14:paraId="00E780C2" w14:textId="77777777" w:rsidR="002F6BE3" w:rsidRDefault="002F6BE3"/>
    <w:p w14:paraId="4C435131" w14:textId="21A26BA6" w:rsidR="002F6BE3" w:rsidRDefault="00644C2E">
      <w:r>
        <w:t xml:space="preserve">According </w:t>
      </w:r>
      <w:proofErr w:type="gramStart"/>
      <w:r>
        <w:t xml:space="preserve">to </w:t>
      </w:r>
      <w:r>
        <w:t xml:space="preserve"> the</w:t>
      </w:r>
      <w:proofErr w:type="gramEnd"/>
      <w:r>
        <w:t xml:space="preserve"> above field description, the</w:t>
      </w:r>
      <w:r>
        <w:t xml:space="preserve"> </w:t>
      </w:r>
      <w:proofErr w:type="spellStart"/>
      <w:r w:rsidRPr="00572637">
        <w:rPr>
          <w:i/>
          <w:iCs/>
        </w:rPr>
        <w:t>locationAndBandwidth</w:t>
      </w:r>
      <w:proofErr w:type="spellEnd"/>
      <w:r>
        <w:t xml:space="preserve"> is interpreted as RIV as defined in RAN1 spec, and the frequency location of first PRB is determined based on </w:t>
      </w:r>
      <w:proofErr w:type="spellStart"/>
      <w:r w:rsidRPr="00572637">
        <w:rPr>
          <w:i/>
          <w:iCs/>
        </w:rPr>
        <w:t>offsetToCarrier</w:t>
      </w:r>
      <w:proofErr w:type="spellEnd"/>
      <w:r>
        <w:t xml:space="preserve"> as well as </w:t>
      </w:r>
      <w:proofErr w:type="spellStart"/>
      <w:r w:rsidRPr="00572637">
        <w:rPr>
          <w:i/>
          <w:iCs/>
        </w:rPr>
        <w:t>PointA</w:t>
      </w:r>
      <w:proofErr w:type="spellEnd"/>
      <w:r>
        <w:t xml:space="preserve"> of this carrier. That mean</w:t>
      </w:r>
      <w:r>
        <w:t xml:space="preserve">s, </w:t>
      </w:r>
      <w:r>
        <w:t xml:space="preserve">if </w:t>
      </w:r>
      <w:r>
        <w:t xml:space="preserve">the </w:t>
      </w:r>
      <w:proofErr w:type="spellStart"/>
      <w:r w:rsidRPr="00572637">
        <w:rPr>
          <w:i/>
          <w:iCs/>
        </w:rPr>
        <w:t>locationAndBandwidth</w:t>
      </w:r>
      <w:proofErr w:type="spellEnd"/>
      <w:r w:rsidRPr="00572637">
        <w:t xml:space="preserve"> is used</w:t>
      </w:r>
      <w:r>
        <w:t xml:space="preserve"> </w:t>
      </w:r>
      <w:r>
        <w:t xml:space="preserve">in MII </w:t>
      </w:r>
      <w:r>
        <w:t>to indicate the location of the CFR</w:t>
      </w:r>
      <w:r>
        <w:t xml:space="preserve"> bandwidth</w:t>
      </w:r>
      <w:r>
        <w:t xml:space="preserve"> of the non-serving cell</w:t>
      </w:r>
      <w:r>
        <w:t>, it</w:t>
      </w:r>
      <w:r>
        <w:t xml:space="preserve"> should be used together with </w:t>
      </w:r>
      <w:proofErr w:type="spellStart"/>
      <w:r w:rsidRPr="00572637">
        <w:rPr>
          <w:i/>
          <w:iCs/>
        </w:rPr>
        <w:t>offsetToCarrier</w:t>
      </w:r>
      <w:proofErr w:type="spellEnd"/>
      <w:r>
        <w:t xml:space="preserve"> and </w:t>
      </w:r>
      <w:proofErr w:type="spellStart"/>
      <w:r w:rsidRPr="00572637">
        <w:rPr>
          <w:i/>
          <w:iCs/>
        </w:rPr>
        <w:t>PointA</w:t>
      </w:r>
      <w:proofErr w:type="spellEnd"/>
      <w:r>
        <w:rPr>
          <w:i/>
          <w:iCs/>
        </w:rPr>
        <w:t xml:space="preserve"> </w:t>
      </w:r>
      <w:r w:rsidRPr="00572637">
        <w:t>of the non-serving cell</w:t>
      </w:r>
      <w:r>
        <w:t xml:space="preserve">. That will bring larger signalling overhead in </w:t>
      </w:r>
      <w:r>
        <w:t xml:space="preserve">the </w:t>
      </w:r>
      <w:r>
        <w:t xml:space="preserve">MII. </w:t>
      </w:r>
    </w:p>
    <w:p w14:paraId="4D8E9FEA" w14:textId="66231189" w:rsidR="002F6BE3" w:rsidRDefault="00644C2E">
      <w:r>
        <w:t>On the other hand</w:t>
      </w:r>
      <w:r>
        <w:t xml:space="preserve">, we </w:t>
      </w:r>
      <w:r>
        <w:t>think</w:t>
      </w:r>
      <w:r>
        <w:t xml:space="preserve"> it is enough for the NW to determine which FSPC will be used for broadcast reception according to the frequency band/ARFCN as </w:t>
      </w:r>
      <w:r>
        <w:t xml:space="preserve">already </w:t>
      </w:r>
      <w:r>
        <w:t>agreed</w:t>
      </w:r>
      <w:r>
        <w:t>.</w:t>
      </w:r>
      <w:r>
        <w:t xml:space="preserve"> More specifically, the frequency band </w:t>
      </w:r>
      <w:r>
        <w:t>together with</w:t>
      </w:r>
      <w:r>
        <w:t xml:space="preserve"> the SCS/</w:t>
      </w:r>
      <w:r>
        <w:t>C</w:t>
      </w:r>
      <w:r>
        <w:t xml:space="preserve">FR </w:t>
      </w:r>
      <w:r>
        <w:t>BW ca</w:t>
      </w:r>
      <w:r>
        <w:t xml:space="preserve">n be used to decide which </w:t>
      </w:r>
      <w:r>
        <w:t xml:space="preserve">exact </w:t>
      </w:r>
      <w:r>
        <w:t>FS/</w:t>
      </w:r>
      <w:r>
        <w:t>FS</w:t>
      </w:r>
      <w:r>
        <w:t>PC</w:t>
      </w:r>
      <w:r>
        <w:t xml:space="preserve"> </w:t>
      </w:r>
      <w:r>
        <w:t>in a band combination</w:t>
      </w:r>
      <w:r>
        <w:t xml:space="preserve"> is used</w:t>
      </w:r>
      <w:r>
        <w:t xml:space="preserve"> for broadcast reception</w:t>
      </w:r>
      <w:r>
        <w:t xml:space="preserve">, </w:t>
      </w:r>
      <w:r>
        <w:t>that is,</w:t>
      </w:r>
      <w:r>
        <w:t xml:space="preserve"> the FSPC with the maximum </w:t>
      </w:r>
      <w:r>
        <w:t xml:space="preserve">supported </w:t>
      </w:r>
      <w:r>
        <w:t xml:space="preserve">CC </w:t>
      </w:r>
      <w:proofErr w:type="gramStart"/>
      <w:r>
        <w:t>BW</w:t>
      </w:r>
      <w:r>
        <w:t>(</w:t>
      </w:r>
      <w:proofErr w:type="gramEnd"/>
      <w:r>
        <w:t xml:space="preserve">i.e. </w:t>
      </w:r>
      <w:proofErr w:type="spellStart"/>
      <w:r w:rsidRPr="00572637">
        <w:rPr>
          <w:i/>
        </w:rPr>
        <w:t>supportedBandwidthDL</w:t>
      </w:r>
      <w:proofErr w:type="spellEnd"/>
      <w:r>
        <w:t>)</w:t>
      </w:r>
      <w:r>
        <w:t xml:space="preserve"> higher than the reported CFR BW in corresponding SCS</w:t>
      </w:r>
      <w:r>
        <w:t>.</w:t>
      </w:r>
      <w:r>
        <w:t xml:space="preserve"> </w:t>
      </w:r>
      <w:r>
        <w:t>Even when the band</w:t>
      </w:r>
      <w:r>
        <w:t xml:space="preserve"> support</w:t>
      </w:r>
      <w:r>
        <w:t>s</w:t>
      </w:r>
      <w:r>
        <w:t xml:space="preserve"> intra-band CA, the ARFCN of the non-serving cell can help to determine the frequency location of the CFR BW. </w:t>
      </w:r>
      <w:r>
        <w:t>Thus,</w:t>
      </w:r>
      <w:r>
        <w:t xml:space="preserve"> </w:t>
      </w:r>
      <w:r>
        <w:t>t</w:t>
      </w:r>
      <w:r>
        <w:t>here is no motivation to introduce additional signalling unnecessarily</w:t>
      </w:r>
      <w:r>
        <w:t xml:space="preserve"> for the "location"</w:t>
      </w:r>
      <w:r>
        <w:t xml:space="preserve">. The CFR bandwidth can be reported by </w:t>
      </w:r>
      <w:r>
        <w:t>the PRB number of CFR</w:t>
      </w:r>
      <w:r>
        <w:t>.</w:t>
      </w:r>
    </w:p>
    <w:p w14:paraId="57391198" w14:textId="02C67634" w:rsidR="002F6BE3" w:rsidRDefault="00644C2E">
      <w:pPr>
        <w:rPr>
          <w:b/>
        </w:rPr>
      </w:pPr>
      <w:r>
        <w:rPr>
          <w:b/>
        </w:rPr>
        <w:t>Proposal 1: CFR bandwidth is reported by PRB number</w:t>
      </w:r>
      <w:r>
        <w:rPr>
          <w:b/>
        </w:rPr>
        <w:t xml:space="preserve"> in the MII</w:t>
      </w:r>
      <w:r>
        <w:rPr>
          <w:b/>
        </w:rPr>
        <w:t xml:space="preserve">, and </w:t>
      </w:r>
      <w:r>
        <w:rPr>
          <w:b/>
        </w:rPr>
        <w:t xml:space="preserve">there is </w:t>
      </w:r>
      <w:r>
        <w:rPr>
          <w:b/>
        </w:rPr>
        <w:t>n</w:t>
      </w:r>
      <w:r>
        <w:rPr>
          <w:b/>
        </w:rPr>
        <w:t xml:space="preserve">o need to indicate </w:t>
      </w:r>
      <w:r>
        <w:rPr>
          <w:b/>
        </w:rPr>
        <w:t xml:space="preserve">other information about the </w:t>
      </w:r>
      <w:r>
        <w:rPr>
          <w:b/>
        </w:rPr>
        <w:t>“location” of CFR</w:t>
      </w:r>
      <w:r>
        <w:rPr>
          <w:b/>
        </w:rPr>
        <w:t xml:space="preserve"> than</w:t>
      </w:r>
      <w:r>
        <w:rPr>
          <w:b/>
        </w:rPr>
        <w:t xml:space="preserve"> </w:t>
      </w:r>
      <w:r>
        <w:rPr>
          <w:b/>
        </w:rPr>
        <w:t xml:space="preserve">the </w:t>
      </w:r>
      <w:r>
        <w:rPr>
          <w:b/>
        </w:rPr>
        <w:t xml:space="preserve">agreed </w:t>
      </w:r>
      <w:r>
        <w:rPr>
          <w:b/>
        </w:rPr>
        <w:t>frequency</w:t>
      </w:r>
      <w:r>
        <w:rPr>
          <w:b/>
        </w:rPr>
        <w:t xml:space="preserve"> information</w:t>
      </w:r>
      <w:r>
        <w:rPr>
          <w:b/>
        </w:rPr>
        <w:t xml:space="preserve"> (i.e. </w:t>
      </w:r>
      <w:proofErr w:type="spellStart"/>
      <w:r w:rsidRPr="00572637">
        <w:rPr>
          <w:b/>
          <w:i/>
        </w:rPr>
        <w:t>FreqBandIndicatorNR</w:t>
      </w:r>
      <w:proofErr w:type="spellEnd"/>
      <w:r>
        <w:rPr>
          <w:b/>
        </w:rPr>
        <w:t xml:space="preserve"> and </w:t>
      </w:r>
      <w:r w:rsidRPr="00572637">
        <w:rPr>
          <w:b/>
          <w:i/>
        </w:rPr>
        <w:t>ARFCN-</w:t>
      </w:r>
      <w:proofErr w:type="spellStart"/>
      <w:r w:rsidRPr="00572637">
        <w:rPr>
          <w:b/>
          <w:i/>
        </w:rPr>
        <w:t>ValueNR</w:t>
      </w:r>
      <w:proofErr w:type="spellEnd"/>
      <w:r>
        <w:rPr>
          <w:b/>
        </w:rPr>
        <w:t xml:space="preserve">). </w:t>
      </w:r>
    </w:p>
    <w:p w14:paraId="4364EAC1" w14:textId="775FCD2B" w:rsidR="002F6BE3" w:rsidRDefault="00644C2E">
      <w:r>
        <w:t xml:space="preserve">Based on the observation 1 above, the MII is used for the serving </w:t>
      </w:r>
      <w:proofErr w:type="spellStart"/>
      <w:r>
        <w:t>gNB</w:t>
      </w:r>
      <w:proofErr w:type="spellEnd"/>
      <w:r>
        <w:t xml:space="preserve"> to determine the remaining FS/FSPC capability which can be used for unicast/multicast services of serving cells in a band combination. However, we think one issue here is that, according</w:t>
      </w:r>
      <w:r>
        <w:t xml:space="preserve"> the current TS 38.331, the reported band combinations in UE capability can only include the frequency </w:t>
      </w:r>
      <w:r>
        <w:lastRenderedPageBreak/>
        <w:t xml:space="preserve">bands within the band filter provided by the </w:t>
      </w:r>
      <w:proofErr w:type="spellStart"/>
      <w:r>
        <w:t>gNB</w:t>
      </w:r>
      <w:proofErr w:type="spellEnd"/>
      <w:r>
        <w:t xml:space="preserve">(i.e. </w:t>
      </w:r>
      <w:proofErr w:type="spellStart"/>
      <w:r>
        <w:rPr>
          <w:i/>
        </w:rPr>
        <w:t>frequencyBandListFilter</w:t>
      </w:r>
      <w:proofErr w:type="spellEnd"/>
      <w:r>
        <w:t>). That means, for inter-PLMN scenario, the FSPC supporting broadcast recept</w:t>
      </w:r>
      <w:r>
        <w:t>ion in non-serving cell</w:t>
      </w:r>
      <w:r>
        <w:t xml:space="preserve"> cannot</w:t>
      </w:r>
      <w:r>
        <w:t xml:space="preserve"> be reported in a band combination. As a result, the serving </w:t>
      </w:r>
      <w:proofErr w:type="spellStart"/>
      <w:r>
        <w:t>gNB</w:t>
      </w:r>
      <w:proofErr w:type="spellEnd"/>
      <w:r>
        <w:t xml:space="preserve"> cannot determine what is the remaining capability that can be used for unicast/multicast scheduling.</w:t>
      </w:r>
    </w:p>
    <w:tbl>
      <w:tblPr>
        <w:tblStyle w:val="af1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2F6BE3" w14:paraId="536BC415" w14:textId="77777777">
        <w:tc>
          <w:tcPr>
            <w:tcW w:w="9629" w:type="dxa"/>
          </w:tcPr>
          <w:p w14:paraId="61A9F78D" w14:textId="77777777" w:rsidR="002F6BE3" w:rsidRDefault="00644C2E">
            <w:pPr>
              <w:spacing w:after="180"/>
              <w:jc w:val="left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The UE shall:</w:t>
            </w:r>
          </w:p>
          <w:p w14:paraId="508AC845" w14:textId="77777777" w:rsidR="002F6BE3" w:rsidRDefault="00644C2E">
            <w:pPr>
              <w:spacing w:after="180"/>
              <w:ind w:left="568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1&gt;</w:t>
            </w:r>
            <w:r>
              <w:rPr>
                <w:rFonts w:eastAsia="Times New Roman"/>
                <w:lang w:eastAsia="ja-JP"/>
              </w:rPr>
              <w:tab/>
              <w:t>compile a list of "ca</w:t>
            </w:r>
            <w:r>
              <w:rPr>
                <w:rFonts w:eastAsia="Times New Roman"/>
                <w:lang w:eastAsia="ja-JP"/>
              </w:rPr>
              <w:t xml:space="preserve">ndidate band combinations" according to the filter criteria in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capabilityRequestFilterCommon</w:t>
            </w:r>
            <w:proofErr w:type="spellEnd"/>
            <w:r>
              <w:rPr>
                <w:rFonts w:eastAsia="Times New Roman"/>
                <w:i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 xml:space="preserve">(if included), </w:t>
            </w:r>
            <w:r>
              <w:rPr>
                <w:rFonts w:eastAsia="Times New Roman"/>
                <w:highlight w:val="yellow"/>
                <w:lang w:eastAsia="ja-JP"/>
              </w:rPr>
              <w:t xml:space="preserve">only consisting of bands included in </w:t>
            </w:r>
            <w:proofErr w:type="spellStart"/>
            <w:r>
              <w:rPr>
                <w:rFonts w:eastAsia="Times New Roman"/>
                <w:i/>
                <w:highlight w:val="yellow"/>
                <w:lang w:eastAsia="ja-JP"/>
              </w:rPr>
              <w:t>frequencyBandListFilter</w:t>
            </w:r>
            <w:proofErr w:type="spellEnd"/>
            <w:r>
              <w:rPr>
                <w:rFonts w:eastAsia="Times New Roman"/>
                <w:highlight w:val="yellow"/>
                <w:lang w:eastAsia="ja-JP"/>
              </w:rPr>
              <w:t xml:space="preserve">, and prioritized in the order of </w:t>
            </w:r>
            <w:proofErr w:type="spellStart"/>
            <w:r>
              <w:rPr>
                <w:rFonts w:eastAsia="Times New Roman"/>
                <w:i/>
                <w:highlight w:val="yellow"/>
                <w:lang w:eastAsia="ja-JP"/>
              </w:rPr>
              <w:t>frequencyBandListFilter</w:t>
            </w:r>
            <w:proofErr w:type="spellEnd"/>
            <w:r>
              <w:rPr>
                <w:rFonts w:eastAsia="Times New Roman"/>
                <w:lang w:eastAsia="ja-JP"/>
              </w:rPr>
              <w:t xml:space="preserve"> (i.e. first include band combi</w:t>
            </w:r>
            <w:r>
              <w:rPr>
                <w:rFonts w:eastAsia="Times New Roman"/>
                <w:lang w:eastAsia="ja-JP"/>
              </w:rPr>
              <w:t xml:space="preserve">nations containing the first-listed band, then include remaining band combinations containing the second-listed band, and so on), where for each band in the band combination, the parameters of the band do not exceed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maxBandwidthRequestedDL</w:t>
            </w:r>
            <w:proofErr w:type="spellEnd"/>
            <w:r>
              <w:rPr>
                <w:rFonts w:eastAsia="Times New Roman"/>
                <w:lang w:eastAsia="ja-JP"/>
              </w:rPr>
              <w:t xml:space="preserve">,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maxBandwidthReq</w:t>
            </w:r>
            <w:r>
              <w:rPr>
                <w:rFonts w:eastAsia="Times New Roman"/>
                <w:i/>
                <w:lang w:eastAsia="ja-JP"/>
              </w:rPr>
              <w:t>uestedUL</w:t>
            </w:r>
            <w:proofErr w:type="spellEnd"/>
            <w:r>
              <w:rPr>
                <w:rFonts w:eastAsia="Times New Roman"/>
                <w:lang w:eastAsia="ja-JP"/>
              </w:rPr>
              <w:t xml:space="preserve">,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maxCarriersRequestedDL</w:t>
            </w:r>
            <w:proofErr w:type="spellEnd"/>
            <w:r>
              <w:rPr>
                <w:rFonts w:eastAsia="Times New Roman"/>
                <w:lang w:eastAsia="ja-JP"/>
              </w:rPr>
              <w:t xml:space="preserve">,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maxCarriersRequestedUL</w:t>
            </w:r>
            <w:proofErr w:type="spellEnd"/>
            <w:r>
              <w:rPr>
                <w:rFonts w:eastAsia="Times New Roman"/>
                <w:lang w:eastAsia="ja-JP"/>
              </w:rPr>
              <w:t xml:space="preserve">, </w:t>
            </w:r>
            <w:r>
              <w:rPr>
                <w:rFonts w:eastAsia="Times New Roman"/>
                <w:i/>
                <w:lang w:eastAsia="ja-JP"/>
              </w:rPr>
              <w:t>ca-</w:t>
            </w:r>
            <w:proofErr w:type="spellStart"/>
            <w:r>
              <w:rPr>
                <w:rFonts w:eastAsia="Times New Roman"/>
                <w:i/>
                <w:lang w:eastAsia="ja-JP"/>
              </w:rPr>
              <w:t>BandwidthClassDL</w:t>
            </w:r>
            <w:proofErr w:type="spellEnd"/>
            <w:r>
              <w:rPr>
                <w:rFonts w:eastAsia="Times New Roman"/>
                <w:i/>
                <w:lang w:eastAsia="ja-JP"/>
              </w:rPr>
              <w:t>-EUTRA</w:t>
            </w:r>
            <w:r>
              <w:rPr>
                <w:rFonts w:eastAsia="Times New Roman"/>
                <w:lang w:eastAsia="ja-JP"/>
              </w:rPr>
              <w:t xml:space="preserve"> or </w:t>
            </w:r>
            <w:r>
              <w:rPr>
                <w:rFonts w:eastAsia="Times New Roman"/>
                <w:i/>
                <w:lang w:eastAsia="ja-JP"/>
              </w:rPr>
              <w:t>ca-</w:t>
            </w:r>
            <w:proofErr w:type="spellStart"/>
            <w:r>
              <w:rPr>
                <w:rFonts w:eastAsia="Times New Roman"/>
                <w:i/>
                <w:lang w:eastAsia="ja-JP"/>
              </w:rPr>
              <w:t>BandwidthClassUL</w:t>
            </w:r>
            <w:proofErr w:type="spellEnd"/>
            <w:r>
              <w:rPr>
                <w:rFonts w:eastAsia="Times New Roman"/>
                <w:i/>
                <w:lang w:eastAsia="ja-JP"/>
              </w:rPr>
              <w:t>-EUTRA</w:t>
            </w:r>
            <w:r>
              <w:rPr>
                <w:rFonts w:eastAsia="Times New Roman"/>
                <w:lang w:eastAsia="ja-JP"/>
              </w:rPr>
              <w:t>, whichever are received;</w:t>
            </w:r>
          </w:p>
          <w:p w14:paraId="7731D60E" w14:textId="77777777" w:rsidR="002F6BE3" w:rsidRDefault="00644C2E">
            <w:pPr>
              <w:spacing w:after="180"/>
              <w:ind w:left="568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1&gt;</w:t>
            </w:r>
            <w:r>
              <w:rPr>
                <w:rFonts w:eastAsia="Times New Roman"/>
                <w:lang w:eastAsia="ja-JP"/>
              </w:rPr>
              <w:tab/>
              <w:t>for each band combination included in the list of "candidate band combinations":</w:t>
            </w:r>
          </w:p>
          <w:p w14:paraId="4DEDD2DE" w14:textId="77777777" w:rsidR="002F6BE3" w:rsidRDefault="00644C2E">
            <w:pPr>
              <w:spacing w:after="180"/>
              <w:ind w:left="851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2&gt;</w:t>
            </w:r>
            <w:r>
              <w:rPr>
                <w:rFonts w:eastAsia="Times New Roman"/>
                <w:lang w:eastAsia="ja-JP"/>
              </w:rPr>
              <w:tab/>
            </w:r>
            <w:r>
              <w:rPr>
                <w:rFonts w:eastAsia="Times New Roman"/>
                <w:lang w:eastAsia="ja-JP"/>
              </w:rPr>
              <w:t xml:space="preserve">if the network (E-UTRA) included the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eutra</w:t>
            </w:r>
            <w:proofErr w:type="spellEnd"/>
            <w:r>
              <w:rPr>
                <w:rFonts w:eastAsia="Times New Roman"/>
                <w:i/>
                <w:lang w:eastAsia="ja-JP"/>
              </w:rPr>
              <w:t>-nr-only</w:t>
            </w:r>
            <w:r>
              <w:rPr>
                <w:rFonts w:eastAsia="Times New Roman"/>
                <w:lang w:eastAsia="ja-JP"/>
              </w:rPr>
              <w:t xml:space="preserve"> field, or</w:t>
            </w:r>
          </w:p>
          <w:p w14:paraId="37BF6B30" w14:textId="77777777" w:rsidR="002F6BE3" w:rsidRDefault="00644C2E">
            <w:pPr>
              <w:spacing w:after="180"/>
              <w:ind w:left="851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2&gt;</w:t>
            </w:r>
            <w:r>
              <w:rPr>
                <w:rFonts w:eastAsia="Times New Roman"/>
                <w:lang w:eastAsia="ja-JP"/>
              </w:rPr>
              <w:tab/>
              <w:t xml:space="preserve">if the requested </w:t>
            </w:r>
            <w:r>
              <w:rPr>
                <w:rFonts w:eastAsia="Times New Roman"/>
                <w:i/>
                <w:lang w:eastAsia="ja-JP"/>
              </w:rPr>
              <w:t>rat-Type</w:t>
            </w:r>
            <w:r>
              <w:rPr>
                <w:rFonts w:eastAsia="Times New Roman"/>
                <w:lang w:eastAsia="ja-JP"/>
              </w:rPr>
              <w:t xml:space="preserve"> is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eutra</w:t>
            </w:r>
            <w:proofErr w:type="spellEnd"/>
            <w:r>
              <w:rPr>
                <w:rFonts w:eastAsia="Times New Roman"/>
                <w:lang w:eastAsia="ja-JP"/>
              </w:rPr>
              <w:t>:</w:t>
            </w:r>
          </w:p>
          <w:p w14:paraId="457FD06D" w14:textId="77777777" w:rsidR="002F6BE3" w:rsidRDefault="00644C2E">
            <w:pPr>
              <w:spacing w:after="180"/>
              <w:ind w:left="1135" w:hanging="284"/>
              <w:jc w:val="left"/>
              <w:textAlignment w:val="baseline"/>
              <w:rPr>
                <w:rFonts w:ascii="CG Times (WN)" w:eastAsia="Yu Mincho" w:hAnsi="CG Times (WN)"/>
                <w:lang w:eastAsia="ja-JP"/>
              </w:rPr>
            </w:pPr>
            <w:r>
              <w:rPr>
                <w:rFonts w:eastAsia="Times New Roman"/>
                <w:lang w:eastAsia="ja-JP"/>
              </w:rPr>
              <w:t>3&gt;</w:t>
            </w:r>
            <w:r>
              <w:rPr>
                <w:rFonts w:eastAsia="Times New Roman"/>
                <w:lang w:eastAsia="ja-JP"/>
              </w:rPr>
              <w:tab/>
              <w:t>remove the NR-only band combination from the list of "candidate band combinations";</w:t>
            </w:r>
          </w:p>
        </w:tc>
      </w:tr>
    </w:tbl>
    <w:p w14:paraId="684E3557" w14:textId="77777777" w:rsidR="002F6BE3" w:rsidRDefault="002F6BE3"/>
    <w:p w14:paraId="1B613109" w14:textId="37A55FAA" w:rsidR="002F6BE3" w:rsidRDefault="00644C2E">
      <w:pPr>
        <w:rPr>
          <w:b/>
        </w:rPr>
      </w:pPr>
      <w:r>
        <w:rPr>
          <w:rFonts w:hint="eastAsia"/>
          <w:b/>
        </w:rPr>
        <w:t>O</w:t>
      </w:r>
      <w:r>
        <w:rPr>
          <w:b/>
        </w:rPr>
        <w:t xml:space="preserve">bservation 2: </w:t>
      </w:r>
      <w:r>
        <w:rPr>
          <w:b/>
        </w:rPr>
        <w:t>According to</w:t>
      </w:r>
      <w:r>
        <w:rPr>
          <w:b/>
        </w:rPr>
        <w:t xml:space="preserve"> </w:t>
      </w:r>
      <w:r>
        <w:rPr>
          <w:b/>
        </w:rPr>
        <w:t xml:space="preserve">the </w:t>
      </w:r>
      <w:r>
        <w:rPr>
          <w:b/>
        </w:rPr>
        <w:t xml:space="preserve">current spec, the FSPC supporting broadcast reception in </w:t>
      </w:r>
      <w:r>
        <w:rPr>
          <w:b/>
        </w:rPr>
        <w:t xml:space="preserve">a </w:t>
      </w:r>
      <w:r>
        <w:rPr>
          <w:b/>
        </w:rPr>
        <w:t xml:space="preserve">non-serving cell from </w:t>
      </w:r>
      <w:r>
        <w:rPr>
          <w:b/>
        </w:rPr>
        <w:t xml:space="preserve">a different </w:t>
      </w:r>
      <w:r>
        <w:rPr>
          <w:b/>
        </w:rPr>
        <w:t>PLMN cannot be reported for a band combination in UE capability.</w:t>
      </w:r>
    </w:p>
    <w:p w14:paraId="7AA2E55B" w14:textId="61C450DC" w:rsidR="002F6BE3" w:rsidRDefault="00644C2E">
      <w:r>
        <w:rPr>
          <w:rFonts w:hint="eastAsia"/>
        </w:rPr>
        <w:t>T</w:t>
      </w:r>
      <w:r>
        <w:t xml:space="preserve">o address this issue, we think one possible solution is the </w:t>
      </w:r>
      <w:proofErr w:type="spellStart"/>
      <w:r>
        <w:t>gNB</w:t>
      </w:r>
      <w:proofErr w:type="spellEnd"/>
      <w:r>
        <w:t xml:space="preserve"> supporting shared processin</w:t>
      </w:r>
      <w:r>
        <w:t xml:space="preserve">g indicates whether a frequency band outside the </w:t>
      </w:r>
      <w:proofErr w:type="spellStart"/>
      <w:r>
        <w:rPr>
          <w:i/>
        </w:rPr>
        <w:t>frequencyBandListFilter</w:t>
      </w:r>
      <w:proofErr w:type="spellEnd"/>
      <w:r>
        <w:t xml:space="preserve"> is allowed to be included in a band combination, these bands are only for MBS broadcast reception in non-serving cell from inter-PLMN. </w:t>
      </w:r>
      <w:r>
        <w:t>In addition, the NW</w:t>
      </w:r>
      <w:r>
        <w:t xml:space="preserve"> can control wh</w:t>
      </w:r>
      <w:r w:rsidR="00572637">
        <w:t>ich</w:t>
      </w:r>
      <w:r>
        <w:t xml:space="preserve"> specific</w:t>
      </w:r>
      <w:r>
        <w:t xml:space="preserve"> ba</w:t>
      </w:r>
      <w:r>
        <w:t xml:space="preserve">nds are </w:t>
      </w:r>
      <w:r>
        <w:t>allowed</w:t>
      </w:r>
      <w:r>
        <w:t xml:space="preserve"> for MBS capability reporting, by including a</w:t>
      </w:r>
      <w:r>
        <w:t xml:space="preserve"> </w:t>
      </w:r>
      <w:r>
        <w:t>new</w:t>
      </w:r>
      <w:r>
        <w:t xml:space="preserve"> kind of frequency band</w:t>
      </w:r>
      <w:r>
        <w:t xml:space="preserve"> </w:t>
      </w:r>
      <w:r w:rsidR="00572637">
        <w:t>filter</w:t>
      </w:r>
      <w:r>
        <w:t xml:space="preserve"> for MBS </w:t>
      </w:r>
      <w:r>
        <w:t>in the existing</w:t>
      </w:r>
      <w:r>
        <w:t xml:space="preserve"> </w:t>
      </w:r>
      <w:proofErr w:type="spellStart"/>
      <w:r>
        <w:rPr>
          <w:i/>
        </w:rPr>
        <w:t>UECapabilityEnquiry</w:t>
      </w:r>
      <w:proofErr w:type="spellEnd"/>
      <w:r>
        <w:t xml:space="preserve"> message. If allowed by </w:t>
      </w:r>
      <w:proofErr w:type="spellStart"/>
      <w:r>
        <w:t>gNB</w:t>
      </w:r>
      <w:proofErr w:type="spellEnd"/>
      <w:r>
        <w:t>, the band combination reported in</w:t>
      </w:r>
      <w:r>
        <w:t xml:space="preserve"> UE capability information can consist of the allowed frequency bands, and only the necessary capability parameters related to MBS reception can be reported (e.g. SCS, BW) for these bands.</w:t>
      </w:r>
    </w:p>
    <w:p w14:paraId="5645D203" w14:textId="77777777" w:rsidR="002F6BE3" w:rsidRDefault="00644C2E">
      <w:pPr>
        <w:rPr>
          <w:b/>
        </w:rPr>
      </w:pPr>
      <w:r>
        <w:rPr>
          <w:b/>
        </w:rPr>
        <w:t xml:space="preserve">Proposal 2: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indicates</w:t>
      </w:r>
      <w:r>
        <w:rPr>
          <w:b/>
        </w:rPr>
        <w:t xml:space="preserve"> whether a frequency band </w:t>
      </w:r>
      <w:bookmarkStart w:id="0" w:name="_GoBack"/>
      <w:bookmarkEnd w:id="0"/>
      <w:r>
        <w:rPr>
          <w:b/>
        </w:rPr>
        <w:t>spe</w:t>
      </w:r>
      <w:r>
        <w:rPr>
          <w:b/>
        </w:rPr>
        <w:t xml:space="preserve">cifically for MBS reception from non-serving cell of inter-PLMN </w:t>
      </w:r>
      <w:proofErr w:type="gramStart"/>
      <w:r>
        <w:rPr>
          <w:b/>
        </w:rPr>
        <w:t>is allowed to</w:t>
      </w:r>
      <w:proofErr w:type="gramEnd"/>
      <w:r>
        <w:rPr>
          <w:b/>
        </w:rPr>
        <w:t xml:space="preserve"> be reported in band combinations. </w:t>
      </w:r>
    </w:p>
    <w:p w14:paraId="5610A187" w14:textId="77777777" w:rsidR="002F6BE3" w:rsidRDefault="00644C2E">
      <w:pPr>
        <w:pStyle w:val="1"/>
        <w:rPr>
          <w:rFonts w:eastAsia="Malgun Gothic"/>
        </w:rPr>
      </w:pPr>
      <w:r>
        <w:rPr>
          <w:rFonts w:eastAsia="Malgun Gothic"/>
        </w:rPr>
        <w:t>Conclusion</w:t>
      </w:r>
    </w:p>
    <w:p w14:paraId="5711AB35" w14:textId="77777777" w:rsidR="002F6BE3" w:rsidRDefault="00644C2E">
      <w:pPr>
        <w:pStyle w:val="a6"/>
      </w:pPr>
      <w:r>
        <w:t>In this contribution, we provide the following observations and proposals:</w:t>
      </w:r>
    </w:p>
    <w:p w14:paraId="5BE1F10F" w14:textId="6D169197" w:rsidR="002F6BE3" w:rsidRPr="00572637" w:rsidRDefault="00572637">
      <w:pPr>
        <w:rPr>
          <w:rFonts w:hint="eastAsia"/>
          <w:b/>
        </w:rPr>
      </w:pPr>
      <w:r>
        <w:rPr>
          <w:rFonts w:hint="eastAsia"/>
          <w:b/>
        </w:rPr>
        <w:t>O</w:t>
      </w:r>
      <w:r>
        <w:rPr>
          <w:b/>
        </w:rPr>
        <w:t xml:space="preserve">bservation 1: The serving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determines which FSPC can be used for broadcast reception of non-serving cell according to the MII.</w:t>
      </w:r>
    </w:p>
    <w:p w14:paraId="05E9C05E" w14:textId="44F45967" w:rsidR="002F6BE3" w:rsidRDefault="00572637">
      <w:pPr>
        <w:rPr>
          <w:b/>
        </w:rPr>
      </w:pPr>
      <w:r>
        <w:rPr>
          <w:b/>
        </w:rPr>
        <w:t xml:space="preserve">Proposal 1: CFR bandwidth is reported by PRB number in the MII, and there is no need to indicate other information about the “location” of CFR than the agreed frequency information (i.e. </w:t>
      </w:r>
      <w:proofErr w:type="spellStart"/>
      <w:r w:rsidRPr="00572637">
        <w:rPr>
          <w:b/>
          <w:i/>
        </w:rPr>
        <w:t>FreqBandIndicatorNR</w:t>
      </w:r>
      <w:proofErr w:type="spellEnd"/>
      <w:r>
        <w:rPr>
          <w:b/>
        </w:rPr>
        <w:t xml:space="preserve"> and </w:t>
      </w:r>
      <w:r w:rsidRPr="00572637">
        <w:rPr>
          <w:b/>
          <w:i/>
        </w:rPr>
        <w:t>ARFCN-</w:t>
      </w:r>
      <w:proofErr w:type="spellStart"/>
      <w:r w:rsidRPr="00572637">
        <w:rPr>
          <w:b/>
          <w:i/>
        </w:rPr>
        <w:t>ValueNR</w:t>
      </w:r>
      <w:proofErr w:type="spellEnd"/>
      <w:r>
        <w:rPr>
          <w:b/>
        </w:rPr>
        <w:t>).</w:t>
      </w:r>
      <w:r w:rsidR="00644C2E">
        <w:rPr>
          <w:b/>
        </w:rPr>
        <w:t xml:space="preserve"> </w:t>
      </w:r>
    </w:p>
    <w:p w14:paraId="7E49D07D" w14:textId="77777777" w:rsidR="00572637" w:rsidRDefault="00572637" w:rsidP="00572637">
      <w:pPr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2: According to the current spec, the FSPC supporting broadcast reception in a non-serving cell from a different PLMN cannot be reported for a band combination in UE capability.</w:t>
      </w:r>
    </w:p>
    <w:p w14:paraId="022B1533" w14:textId="77777777" w:rsidR="00572637" w:rsidRDefault="00572637" w:rsidP="00572637">
      <w:pPr>
        <w:rPr>
          <w:b/>
        </w:rPr>
      </w:pPr>
      <w:r>
        <w:rPr>
          <w:b/>
        </w:rPr>
        <w:t xml:space="preserve">Proposal 2: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indicates whether a frequency band specifically for MBS reception from non-serving cell of inter-PLMN </w:t>
      </w:r>
      <w:proofErr w:type="gramStart"/>
      <w:r>
        <w:rPr>
          <w:b/>
        </w:rPr>
        <w:t>is allowed to</w:t>
      </w:r>
      <w:proofErr w:type="gramEnd"/>
      <w:r>
        <w:rPr>
          <w:b/>
        </w:rPr>
        <w:t xml:space="preserve"> be reported in band combinations. </w:t>
      </w:r>
    </w:p>
    <w:p w14:paraId="006251B0" w14:textId="77777777" w:rsidR="002F6BE3" w:rsidRDefault="00644C2E">
      <w:pPr>
        <w:pStyle w:val="1"/>
        <w:rPr>
          <w:rFonts w:eastAsia="Malgun Gothic"/>
        </w:rPr>
      </w:pPr>
      <w:r>
        <w:rPr>
          <w:rFonts w:eastAsia="Malgun Gothic"/>
        </w:rPr>
        <w:t>References</w:t>
      </w:r>
    </w:p>
    <w:p w14:paraId="56E47B64" w14:textId="77777777" w:rsidR="002F6BE3" w:rsidRDefault="00644C2E">
      <w:r>
        <w:t>[1] RAN2#123 chairman’s note.</w:t>
      </w:r>
    </w:p>
    <w:sectPr w:rsidR="002F6BE3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21556" w14:textId="77777777" w:rsidR="00644C2E" w:rsidRDefault="00644C2E" w:rsidP="00572637">
      <w:pPr>
        <w:spacing w:after="0"/>
      </w:pPr>
      <w:r>
        <w:separator/>
      </w:r>
    </w:p>
  </w:endnote>
  <w:endnote w:type="continuationSeparator" w:id="0">
    <w:p w14:paraId="3B197241" w14:textId="77777777" w:rsidR="00644C2E" w:rsidRDefault="00644C2E" w:rsidP="005726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0BCB0" w14:textId="77777777" w:rsidR="00644C2E" w:rsidRDefault="00644C2E" w:rsidP="00572637">
      <w:pPr>
        <w:spacing w:after="0"/>
      </w:pPr>
      <w:r>
        <w:separator/>
      </w:r>
    </w:p>
  </w:footnote>
  <w:footnote w:type="continuationSeparator" w:id="0">
    <w:p w14:paraId="0C81DC15" w14:textId="77777777" w:rsidR="00644C2E" w:rsidRDefault="00644C2E" w:rsidP="005726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F4"/>
    <w:rsid w:val="8FBF9912"/>
    <w:rsid w:val="959CCB2D"/>
    <w:rsid w:val="9BF62D04"/>
    <w:rsid w:val="B1E5E981"/>
    <w:rsid w:val="B5371345"/>
    <w:rsid w:val="BCE526A6"/>
    <w:rsid w:val="BFDD1106"/>
    <w:rsid w:val="CCF77372"/>
    <w:rsid w:val="D5FD4409"/>
    <w:rsid w:val="D73B04AF"/>
    <w:rsid w:val="DBFD597E"/>
    <w:rsid w:val="DCEB0B87"/>
    <w:rsid w:val="DF1D1F9D"/>
    <w:rsid w:val="DFF71265"/>
    <w:rsid w:val="EDFE377D"/>
    <w:rsid w:val="EF8B4D85"/>
    <w:rsid w:val="EFBE6053"/>
    <w:rsid w:val="F56D5265"/>
    <w:rsid w:val="F6BDF918"/>
    <w:rsid w:val="F75BC6B6"/>
    <w:rsid w:val="F7BF0C28"/>
    <w:rsid w:val="F9FF0305"/>
    <w:rsid w:val="FAB714D8"/>
    <w:rsid w:val="FF3F789E"/>
    <w:rsid w:val="FFFEF92F"/>
    <w:rsid w:val="00001195"/>
    <w:rsid w:val="00003982"/>
    <w:rsid w:val="00004D31"/>
    <w:rsid w:val="0000500F"/>
    <w:rsid w:val="00006CFC"/>
    <w:rsid w:val="00007F8B"/>
    <w:rsid w:val="00012B7D"/>
    <w:rsid w:val="00013F9F"/>
    <w:rsid w:val="0002556D"/>
    <w:rsid w:val="00026549"/>
    <w:rsid w:val="00026790"/>
    <w:rsid w:val="000272C0"/>
    <w:rsid w:val="0002783C"/>
    <w:rsid w:val="000321F3"/>
    <w:rsid w:val="000325A9"/>
    <w:rsid w:val="000363CC"/>
    <w:rsid w:val="00036520"/>
    <w:rsid w:val="000369A7"/>
    <w:rsid w:val="0004047A"/>
    <w:rsid w:val="00041DB9"/>
    <w:rsid w:val="000449D8"/>
    <w:rsid w:val="00045CC4"/>
    <w:rsid w:val="00046906"/>
    <w:rsid w:val="000470D1"/>
    <w:rsid w:val="00052E72"/>
    <w:rsid w:val="00053048"/>
    <w:rsid w:val="000555E4"/>
    <w:rsid w:val="000556B6"/>
    <w:rsid w:val="00056BFC"/>
    <w:rsid w:val="0006138F"/>
    <w:rsid w:val="000701A7"/>
    <w:rsid w:val="000717D6"/>
    <w:rsid w:val="00072099"/>
    <w:rsid w:val="00081B22"/>
    <w:rsid w:val="00091235"/>
    <w:rsid w:val="000942D7"/>
    <w:rsid w:val="000967F0"/>
    <w:rsid w:val="000A399E"/>
    <w:rsid w:val="000A4435"/>
    <w:rsid w:val="000A4594"/>
    <w:rsid w:val="000B1DB1"/>
    <w:rsid w:val="000C32ED"/>
    <w:rsid w:val="000D2989"/>
    <w:rsid w:val="000D2DFD"/>
    <w:rsid w:val="000D52BD"/>
    <w:rsid w:val="000E1C56"/>
    <w:rsid w:val="000E4ACE"/>
    <w:rsid w:val="000E6361"/>
    <w:rsid w:val="000E6485"/>
    <w:rsid w:val="000F1159"/>
    <w:rsid w:val="000F13EC"/>
    <w:rsid w:val="000F6961"/>
    <w:rsid w:val="00100DEA"/>
    <w:rsid w:val="00102130"/>
    <w:rsid w:val="00102594"/>
    <w:rsid w:val="00104C22"/>
    <w:rsid w:val="00104DA6"/>
    <w:rsid w:val="001057CC"/>
    <w:rsid w:val="00110A47"/>
    <w:rsid w:val="001148F9"/>
    <w:rsid w:val="0011611A"/>
    <w:rsid w:val="001216EB"/>
    <w:rsid w:val="00123340"/>
    <w:rsid w:val="0012374B"/>
    <w:rsid w:val="00124864"/>
    <w:rsid w:val="00125782"/>
    <w:rsid w:val="00126FB0"/>
    <w:rsid w:val="00132EFF"/>
    <w:rsid w:val="00133266"/>
    <w:rsid w:val="001347BB"/>
    <w:rsid w:val="00136511"/>
    <w:rsid w:val="00136A26"/>
    <w:rsid w:val="001405B1"/>
    <w:rsid w:val="0014567B"/>
    <w:rsid w:val="00146CE0"/>
    <w:rsid w:val="00150962"/>
    <w:rsid w:val="00156C66"/>
    <w:rsid w:val="0016219F"/>
    <w:rsid w:val="001629E6"/>
    <w:rsid w:val="0016376A"/>
    <w:rsid w:val="00166918"/>
    <w:rsid w:val="00167D75"/>
    <w:rsid w:val="00171DC6"/>
    <w:rsid w:val="00176930"/>
    <w:rsid w:val="00180D3D"/>
    <w:rsid w:val="001826D0"/>
    <w:rsid w:val="00183E54"/>
    <w:rsid w:val="00187C44"/>
    <w:rsid w:val="00190E6E"/>
    <w:rsid w:val="00192316"/>
    <w:rsid w:val="00193050"/>
    <w:rsid w:val="0019776D"/>
    <w:rsid w:val="001A0433"/>
    <w:rsid w:val="001A2425"/>
    <w:rsid w:val="001A242D"/>
    <w:rsid w:val="001B5DF8"/>
    <w:rsid w:val="001B740C"/>
    <w:rsid w:val="001C0C92"/>
    <w:rsid w:val="001C5B49"/>
    <w:rsid w:val="001E20B1"/>
    <w:rsid w:val="001E6DA7"/>
    <w:rsid w:val="001E787D"/>
    <w:rsid w:val="001E7E8B"/>
    <w:rsid w:val="001F6BE3"/>
    <w:rsid w:val="001F7FE7"/>
    <w:rsid w:val="00204B1B"/>
    <w:rsid w:val="002057CA"/>
    <w:rsid w:val="00205C5F"/>
    <w:rsid w:val="002075D4"/>
    <w:rsid w:val="0021754B"/>
    <w:rsid w:val="00221DB9"/>
    <w:rsid w:val="00222933"/>
    <w:rsid w:val="00223488"/>
    <w:rsid w:val="00227265"/>
    <w:rsid w:val="00227A83"/>
    <w:rsid w:val="002303CB"/>
    <w:rsid w:val="00231DE7"/>
    <w:rsid w:val="00240FF8"/>
    <w:rsid w:val="002433BB"/>
    <w:rsid w:val="00245905"/>
    <w:rsid w:val="00247E48"/>
    <w:rsid w:val="00250756"/>
    <w:rsid w:val="00250CAA"/>
    <w:rsid w:val="00254343"/>
    <w:rsid w:val="00257035"/>
    <w:rsid w:val="0026092A"/>
    <w:rsid w:val="00262BD5"/>
    <w:rsid w:val="00264160"/>
    <w:rsid w:val="00267128"/>
    <w:rsid w:val="002674AF"/>
    <w:rsid w:val="002733FE"/>
    <w:rsid w:val="0027463C"/>
    <w:rsid w:val="00293FBF"/>
    <w:rsid w:val="002A57BC"/>
    <w:rsid w:val="002A7EB8"/>
    <w:rsid w:val="002B10A7"/>
    <w:rsid w:val="002B4B5B"/>
    <w:rsid w:val="002C00EF"/>
    <w:rsid w:val="002C311C"/>
    <w:rsid w:val="002D02AE"/>
    <w:rsid w:val="002D3D77"/>
    <w:rsid w:val="002D4C48"/>
    <w:rsid w:val="002D5539"/>
    <w:rsid w:val="002E0BD5"/>
    <w:rsid w:val="002E11E3"/>
    <w:rsid w:val="002E1C17"/>
    <w:rsid w:val="002E1D1E"/>
    <w:rsid w:val="002F0CC4"/>
    <w:rsid w:val="002F1490"/>
    <w:rsid w:val="002F1A00"/>
    <w:rsid w:val="002F58B2"/>
    <w:rsid w:val="002F5C5B"/>
    <w:rsid w:val="002F682F"/>
    <w:rsid w:val="002F6BE3"/>
    <w:rsid w:val="0030119C"/>
    <w:rsid w:val="00305325"/>
    <w:rsid w:val="00305B00"/>
    <w:rsid w:val="00305E17"/>
    <w:rsid w:val="00312AD1"/>
    <w:rsid w:val="00321813"/>
    <w:rsid w:val="003239F6"/>
    <w:rsid w:val="00327184"/>
    <w:rsid w:val="00327502"/>
    <w:rsid w:val="003301A0"/>
    <w:rsid w:val="00334481"/>
    <w:rsid w:val="00334FBA"/>
    <w:rsid w:val="0033561D"/>
    <w:rsid w:val="00337844"/>
    <w:rsid w:val="00341005"/>
    <w:rsid w:val="00341F7A"/>
    <w:rsid w:val="00347FCC"/>
    <w:rsid w:val="00360BBA"/>
    <w:rsid w:val="0036214B"/>
    <w:rsid w:val="00363DA4"/>
    <w:rsid w:val="003666C4"/>
    <w:rsid w:val="003726E7"/>
    <w:rsid w:val="00372A60"/>
    <w:rsid w:val="00373BA7"/>
    <w:rsid w:val="0037579A"/>
    <w:rsid w:val="003808DE"/>
    <w:rsid w:val="00380ED0"/>
    <w:rsid w:val="00381E4A"/>
    <w:rsid w:val="003832F2"/>
    <w:rsid w:val="0038545E"/>
    <w:rsid w:val="0038604D"/>
    <w:rsid w:val="00386813"/>
    <w:rsid w:val="00386CDA"/>
    <w:rsid w:val="00387566"/>
    <w:rsid w:val="00387AC5"/>
    <w:rsid w:val="00390689"/>
    <w:rsid w:val="00391D19"/>
    <w:rsid w:val="00395A31"/>
    <w:rsid w:val="00397317"/>
    <w:rsid w:val="003A1AC7"/>
    <w:rsid w:val="003A284B"/>
    <w:rsid w:val="003B243E"/>
    <w:rsid w:val="003B4626"/>
    <w:rsid w:val="003B47F9"/>
    <w:rsid w:val="003C0902"/>
    <w:rsid w:val="003C2A89"/>
    <w:rsid w:val="003D0552"/>
    <w:rsid w:val="003D1040"/>
    <w:rsid w:val="003D1D3B"/>
    <w:rsid w:val="003D3350"/>
    <w:rsid w:val="003E3040"/>
    <w:rsid w:val="003E51A4"/>
    <w:rsid w:val="003E538B"/>
    <w:rsid w:val="003E7EDB"/>
    <w:rsid w:val="003F19BA"/>
    <w:rsid w:val="003F2ED0"/>
    <w:rsid w:val="003F36DC"/>
    <w:rsid w:val="003F3CED"/>
    <w:rsid w:val="00401397"/>
    <w:rsid w:val="00404494"/>
    <w:rsid w:val="00406DB7"/>
    <w:rsid w:val="004120DC"/>
    <w:rsid w:val="00415529"/>
    <w:rsid w:val="00417F94"/>
    <w:rsid w:val="00421FBF"/>
    <w:rsid w:val="00422F26"/>
    <w:rsid w:val="00431C82"/>
    <w:rsid w:val="004333C6"/>
    <w:rsid w:val="0043558C"/>
    <w:rsid w:val="00437191"/>
    <w:rsid w:val="00447BCE"/>
    <w:rsid w:val="004521D0"/>
    <w:rsid w:val="004539E2"/>
    <w:rsid w:val="004543AC"/>
    <w:rsid w:val="0046038C"/>
    <w:rsid w:val="004649FD"/>
    <w:rsid w:val="00465A03"/>
    <w:rsid w:val="00471FFC"/>
    <w:rsid w:val="00472EF1"/>
    <w:rsid w:val="00482DA3"/>
    <w:rsid w:val="00484325"/>
    <w:rsid w:val="0048476C"/>
    <w:rsid w:val="004856A5"/>
    <w:rsid w:val="00487CA4"/>
    <w:rsid w:val="00491A39"/>
    <w:rsid w:val="00493336"/>
    <w:rsid w:val="0049409E"/>
    <w:rsid w:val="004A04AD"/>
    <w:rsid w:val="004A5DFC"/>
    <w:rsid w:val="004A79F0"/>
    <w:rsid w:val="004B03AD"/>
    <w:rsid w:val="004B085A"/>
    <w:rsid w:val="004C3841"/>
    <w:rsid w:val="004C3E53"/>
    <w:rsid w:val="004D1572"/>
    <w:rsid w:val="004D2483"/>
    <w:rsid w:val="004D625E"/>
    <w:rsid w:val="004D631D"/>
    <w:rsid w:val="004D6D90"/>
    <w:rsid w:val="004E00F5"/>
    <w:rsid w:val="004E18CB"/>
    <w:rsid w:val="004E2BB0"/>
    <w:rsid w:val="004E4008"/>
    <w:rsid w:val="004E6DBA"/>
    <w:rsid w:val="004E794E"/>
    <w:rsid w:val="004F1307"/>
    <w:rsid w:val="004F17AB"/>
    <w:rsid w:val="004F2B99"/>
    <w:rsid w:val="004F3BD9"/>
    <w:rsid w:val="004F428F"/>
    <w:rsid w:val="004F6CD9"/>
    <w:rsid w:val="00500BA1"/>
    <w:rsid w:val="00501DBE"/>
    <w:rsid w:val="0050394C"/>
    <w:rsid w:val="005108F9"/>
    <w:rsid w:val="00514335"/>
    <w:rsid w:val="00515988"/>
    <w:rsid w:val="00520175"/>
    <w:rsid w:val="005205A6"/>
    <w:rsid w:val="00522942"/>
    <w:rsid w:val="0052331D"/>
    <w:rsid w:val="00524EF2"/>
    <w:rsid w:val="00527419"/>
    <w:rsid w:val="00527444"/>
    <w:rsid w:val="00532361"/>
    <w:rsid w:val="005374B9"/>
    <w:rsid w:val="0054397F"/>
    <w:rsid w:val="00545391"/>
    <w:rsid w:val="00546B2E"/>
    <w:rsid w:val="00550A82"/>
    <w:rsid w:val="00551015"/>
    <w:rsid w:val="00551598"/>
    <w:rsid w:val="00555944"/>
    <w:rsid w:val="00560264"/>
    <w:rsid w:val="00561A17"/>
    <w:rsid w:val="00563290"/>
    <w:rsid w:val="00571FC1"/>
    <w:rsid w:val="00572637"/>
    <w:rsid w:val="00573EBA"/>
    <w:rsid w:val="00577741"/>
    <w:rsid w:val="005778E2"/>
    <w:rsid w:val="00581A85"/>
    <w:rsid w:val="0058265B"/>
    <w:rsid w:val="0059298A"/>
    <w:rsid w:val="005A10D3"/>
    <w:rsid w:val="005A1259"/>
    <w:rsid w:val="005A4D34"/>
    <w:rsid w:val="005A4EA6"/>
    <w:rsid w:val="005A5BB6"/>
    <w:rsid w:val="005A6208"/>
    <w:rsid w:val="005A736F"/>
    <w:rsid w:val="005A7855"/>
    <w:rsid w:val="005B23B2"/>
    <w:rsid w:val="005B4099"/>
    <w:rsid w:val="005C553F"/>
    <w:rsid w:val="005C5CC0"/>
    <w:rsid w:val="005D3292"/>
    <w:rsid w:val="005D72AF"/>
    <w:rsid w:val="005E0393"/>
    <w:rsid w:val="005E1798"/>
    <w:rsid w:val="005E524C"/>
    <w:rsid w:val="005F0D38"/>
    <w:rsid w:val="005F46E2"/>
    <w:rsid w:val="005F6DEF"/>
    <w:rsid w:val="005F7036"/>
    <w:rsid w:val="00600768"/>
    <w:rsid w:val="00600FDD"/>
    <w:rsid w:val="006049EF"/>
    <w:rsid w:val="00610179"/>
    <w:rsid w:val="00613872"/>
    <w:rsid w:val="00615051"/>
    <w:rsid w:val="0062320B"/>
    <w:rsid w:val="0062546F"/>
    <w:rsid w:val="00625F5D"/>
    <w:rsid w:val="00630FBE"/>
    <w:rsid w:val="006310EB"/>
    <w:rsid w:val="00631B22"/>
    <w:rsid w:val="0063525D"/>
    <w:rsid w:val="00635680"/>
    <w:rsid w:val="00644983"/>
    <w:rsid w:val="00644C2E"/>
    <w:rsid w:val="00646D16"/>
    <w:rsid w:val="00647600"/>
    <w:rsid w:val="00652DE7"/>
    <w:rsid w:val="00657FD4"/>
    <w:rsid w:val="00663722"/>
    <w:rsid w:val="00670B41"/>
    <w:rsid w:val="00670FD1"/>
    <w:rsid w:val="00671F53"/>
    <w:rsid w:val="006748F1"/>
    <w:rsid w:val="0067590A"/>
    <w:rsid w:val="00680047"/>
    <w:rsid w:val="006801F9"/>
    <w:rsid w:val="00681090"/>
    <w:rsid w:val="00683963"/>
    <w:rsid w:val="006861D0"/>
    <w:rsid w:val="00687A8C"/>
    <w:rsid w:val="0069645C"/>
    <w:rsid w:val="00696B01"/>
    <w:rsid w:val="006973D0"/>
    <w:rsid w:val="006A040B"/>
    <w:rsid w:val="006B21D6"/>
    <w:rsid w:val="006B4750"/>
    <w:rsid w:val="006B5043"/>
    <w:rsid w:val="006C2B22"/>
    <w:rsid w:val="006C2ECD"/>
    <w:rsid w:val="006C4A1B"/>
    <w:rsid w:val="006D106C"/>
    <w:rsid w:val="006D1C6D"/>
    <w:rsid w:val="006D6009"/>
    <w:rsid w:val="006D668A"/>
    <w:rsid w:val="006E38DE"/>
    <w:rsid w:val="006E4FE8"/>
    <w:rsid w:val="006E52F0"/>
    <w:rsid w:val="006E6256"/>
    <w:rsid w:val="006F2180"/>
    <w:rsid w:val="006F2B41"/>
    <w:rsid w:val="006F4948"/>
    <w:rsid w:val="006F7AEA"/>
    <w:rsid w:val="00701DDB"/>
    <w:rsid w:val="00706466"/>
    <w:rsid w:val="00707E18"/>
    <w:rsid w:val="00707E86"/>
    <w:rsid w:val="00710ABB"/>
    <w:rsid w:val="00716304"/>
    <w:rsid w:val="00734496"/>
    <w:rsid w:val="00734BAC"/>
    <w:rsid w:val="00735DE8"/>
    <w:rsid w:val="00747D50"/>
    <w:rsid w:val="00750CFE"/>
    <w:rsid w:val="007574CF"/>
    <w:rsid w:val="007667AF"/>
    <w:rsid w:val="007678B0"/>
    <w:rsid w:val="00780020"/>
    <w:rsid w:val="00781AC6"/>
    <w:rsid w:val="00782CF4"/>
    <w:rsid w:val="007839AF"/>
    <w:rsid w:val="00784CED"/>
    <w:rsid w:val="00785DAE"/>
    <w:rsid w:val="00793D2D"/>
    <w:rsid w:val="00794494"/>
    <w:rsid w:val="00797762"/>
    <w:rsid w:val="007A1166"/>
    <w:rsid w:val="007A5817"/>
    <w:rsid w:val="007A5A2C"/>
    <w:rsid w:val="007B1022"/>
    <w:rsid w:val="007B3863"/>
    <w:rsid w:val="007B3B10"/>
    <w:rsid w:val="007B48C6"/>
    <w:rsid w:val="007B63D3"/>
    <w:rsid w:val="007B7F7E"/>
    <w:rsid w:val="007C0463"/>
    <w:rsid w:val="007C0935"/>
    <w:rsid w:val="007C2956"/>
    <w:rsid w:val="007C6BE5"/>
    <w:rsid w:val="007D23D2"/>
    <w:rsid w:val="007D2B22"/>
    <w:rsid w:val="007D3B66"/>
    <w:rsid w:val="007E2C1F"/>
    <w:rsid w:val="007E6C03"/>
    <w:rsid w:val="007E6C65"/>
    <w:rsid w:val="007F14DA"/>
    <w:rsid w:val="007F3FAA"/>
    <w:rsid w:val="00800E39"/>
    <w:rsid w:val="00801DF3"/>
    <w:rsid w:val="008034E5"/>
    <w:rsid w:val="00803C5D"/>
    <w:rsid w:val="008055D4"/>
    <w:rsid w:val="00805DE6"/>
    <w:rsid w:val="008079AD"/>
    <w:rsid w:val="00810FE9"/>
    <w:rsid w:val="0081264E"/>
    <w:rsid w:val="00812BDE"/>
    <w:rsid w:val="00812D6C"/>
    <w:rsid w:val="00820293"/>
    <w:rsid w:val="008231E6"/>
    <w:rsid w:val="008256CA"/>
    <w:rsid w:val="00825C4E"/>
    <w:rsid w:val="00826B89"/>
    <w:rsid w:val="00831165"/>
    <w:rsid w:val="0083146E"/>
    <w:rsid w:val="008329BC"/>
    <w:rsid w:val="0083419A"/>
    <w:rsid w:val="00834D3A"/>
    <w:rsid w:val="00842F90"/>
    <w:rsid w:val="0084589B"/>
    <w:rsid w:val="00847A34"/>
    <w:rsid w:val="0085073B"/>
    <w:rsid w:val="008512E1"/>
    <w:rsid w:val="00851F9A"/>
    <w:rsid w:val="00856920"/>
    <w:rsid w:val="00866C34"/>
    <w:rsid w:val="00866E3E"/>
    <w:rsid w:val="00874B84"/>
    <w:rsid w:val="008870C0"/>
    <w:rsid w:val="008967E4"/>
    <w:rsid w:val="008968C9"/>
    <w:rsid w:val="00896954"/>
    <w:rsid w:val="00896DD5"/>
    <w:rsid w:val="008A0034"/>
    <w:rsid w:val="008A56EA"/>
    <w:rsid w:val="008A70AC"/>
    <w:rsid w:val="008B5E21"/>
    <w:rsid w:val="008C1349"/>
    <w:rsid w:val="008D5BB6"/>
    <w:rsid w:val="008D7321"/>
    <w:rsid w:val="008E05CC"/>
    <w:rsid w:val="008E0FB7"/>
    <w:rsid w:val="008E699D"/>
    <w:rsid w:val="008F2AFC"/>
    <w:rsid w:val="008F2FBC"/>
    <w:rsid w:val="008F4347"/>
    <w:rsid w:val="008F4D90"/>
    <w:rsid w:val="008F646F"/>
    <w:rsid w:val="0090161D"/>
    <w:rsid w:val="00907C08"/>
    <w:rsid w:val="00910AB1"/>
    <w:rsid w:val="00912EBE"/>
    <w:rsid w:val="0091384B"/>
    <w:rsid w:val="00916B7A"/>
    <w:rsid w:val="00920DFA"/>
    <w:rsid w:val="009213AC"/>
    <w:rsid w:val="0092307B"/>
    <w:rsid w:val="009233A9"/>
    <w:rsid w:val="00930B23"/>
    <w:rsid w:val="00931B41"/>
    <w:rsid w:val="0093220F"/>
    <w:rsid w:val="00935886"/>
    <w:rsid w:val="0093626A"/>
    <w:rsid w:val="00936953"/>
    <w:rsid w:val="00940994"/>
    <w:rsid w:val="009409FF"/>
    <w:rsid w:val="00940FBD"/>
    <w:rsid w:val="009415EF"/>
    <w:rsid w:val="00941F4D"/>
    <w:rsid w:val="00944A15"/>
    <w:rsid w:val="00944FA3"/>
    <w:rsid w:val="00945737"/>
    <w:rsid w:val="00946A13"/>
    <w:rsid w:val="00951843"/>
    <w:rsid w:val="00957657"/>
    <w:rsid w:val="00962177"/>
    <w:rsid w:val="00962843"/>
    <w:rsid w:val="00966634"/>
    <w:rsid w:val="00967E21"/>
    <w:rsid w:val="00970181"/>
    <w:rsid w:val="009707DE"/>
    <w:rsid w:val="009726FF"/>
    <w:rsid w:val="00973912"/>
    <w:rsid w:val="00974098"/>
    <w:rsid w:val="009839B5"/>
    <w:rsid w:val="0098462D"/>
    <w:rsid w:val="00986196"/>
    <w:rsid w:val="00987D51"/>
    <w:rsid w:val="00995329"/>
    <w:rsid w:val="00996E70"/>
    <w:rsid w:val="009A1FF5"/>
    <w:rsid w:val="009A3782"/>
    <w:rsid w:val="009A46E0"/>
    <w:rsid w:val="009A50E6"/>
    <w:rsid w:val="009A570E"/>
    <w:rsid w:val="009A704A"/>
    <w:rsid w:val="009C06C6"/>
    <w:rsid w:val="009C1A4A"/>
    <w:rsid w:val="009C52A4"/>
    <w:rsid w:val="009C7078"/>
    <w:rsid w:val="009C70D2"/>
    <w:rsid w:val="009D15E5"/>
    <w:rsid w:val="009D32AC"/>
    <w:rsid w:val="009D508A"/>
    <w:rsid w:val="009D78FC"/>
    <w:rsid w:val="009E0F69"/>
    <w:rsid w:val="009E1D0C"/>
    <w:rsid w:val="009E25BC"/>
    <w:rsid w:val="009E45D0"/>
    <w:rsid w:val="009F4A6F"/>
    <w:rsid w:val="009F7831"/>
    <w:rsid w:val="00A00EAE"/>
    <w:rsid w:val="00A0364F"/>
    <w:rsid w:val="00A03AB4"/>
    <w:rsid w:val="00A05FD8"/>
    <w:rsid w:val="00A07287"/>
    <w:rsid w:val="00A07723"/>
    <w:rsid w:val="00A07729"/>
    <w:rsid w:val="00A12AB4"/>
    <w:rsid w:val="00A15C7B"/>
    <w:rsid w:val="00A16903"/>
    <w:rsid w:val="00A216EE"/>
    <w:rsid w:val="00A2513D"/>
    <w:rsid w:val="00A31E45"/>
    <w:rsid w:val="00A32CE2"/>
    <w:rsid w:val="00A37367"/>
    <w:rsid w:val="00A413CF"/>
    <w:rsid w:val="00A41E69"/>
    <w:rsid w:val="00A4322F"/>
    <w:rsid w:val="00A4645E"/>
    <w:rsid w:val="00A46611"/>
    <w:rsid w:val="00A54388"/>
    <w:rsid w:val="00A5535A"/>
    <w:rsid w:val="00A57DD9"/>
    <w:rsid w:val="00A613CC"/>
    <w:rsid w:val="00A62D74"/>
    <w:rsid w:val="00A630DD"/>
    <w:rsid w:val="00A71622"/>
    <w:rsid w:val="00A72B67"/>
    <w:rsid w:val="00A73620"/>
    <w:rsid w:val="00A752AB"/>
    <w:rsid w:val="00A76B0B"/>
    <w:rsid w:val="00A80BC0"/>
    <w:rsid w:val="00A840F2"/>
    <w:rsid w:val="00A87719"/>
    <w:rsid w:val="00A91B8B"/>
    <w:rsid w:val="00A936EB"/>
    <w:rsid w:val="00A94670"/>
    <w:rsid w:val="00A95507"/>
    <w:rsid w:val="00AA6417"/>
    <w:rsid w:val="00AB41C8"/>
    <w:rsid w:val="00AB4810"/>
    <w:rsid w:val="00AB5712"/>
    <w:rsid w:val="00AB64C0"/>
    <w:rsid w:val="00AB650C"/>
    <w:rsid w:val="00AB7153"/>
    <w:rsid w:val="00AB7432"/>
    <w:rsid w:val="00AC0681"/>
    <w:rsid w:val="00AC348B"/>
    <w:rsid w:val="00AC3E2E"/>
    <w:rsid w:val="00AC42D2"/>
    <w:rsid w:val="00AC5455"/>
    <w:rsid w:val="00AC638F"/>
    <w:rsid w:val="00AD2838"/>
    <w:rsid w:val="00AD5977"/>
    <w:rsid w:val="00AD6F54"/>
    <w:rsid w:val="00AD73DE"/>
    <w:rsid w:val="00AE02F0"/>
    <w:rsid w:val="00AE5312"/>
    <w:rsid w:val="00AF0014"/>
    <w:rsid w:val="00AF70CD"/>
    <w:rsid w:val="00AF7489"/>
    <w:rsid w:val="00B00B9D"/>
    <w:rsid w:val="00B02B25"/>
    <w:rsid w:val="00B11EE1"/>
    <w:rsid w:val="00B12FA0"/>
    <w:rsid w:val="00B1321C"/>
    <w:rsid w:val="00B13DBC"/>
    <w:rsid w:val="00B1643E"/>
    <w:rsid w:val="00B27071"/>
    <w:rsid w:val="00B3121B"/>
    <w:rsid w:val="00B31BEE"/>
    <w:rsid w:val="00B35F43"/>
    <w:rsid w:val="00B36674"/>
    <w:rsid w:val="00B37894"/>
    <w:rsid w:val="00B37DC3"/>
    <w:rsid w:val="00B4107A"/>
    <w:rsid w:val="00B4194B"/>
    <w:rsid w:val="00B432C3"/>
    <w:rsid w:val="00B4486B"/>
    <w:rsid w:val="00B4603A"/>
    <w:rsid w:val="00B479BC"/>
    <w:rsid w:val="00B47D29"/>
    <w:rsid w:val="00B47FDC"/>
    <w:rsid w:val="00B54798"/>
    <w:rsid w:val="00B62BC0"/>
    <w:rsid w:val="00B63E6A"/>
    <w:rsid w:val="00B65C24"/>
    <w:rsid w:val="00B6716B"/>
    <w:rsid w:val="00B6731A"/>
    <w:rsid w:val="00B71A1B"/>
    <w:rsid w:val="00B8130A"/>
    <w:rsid w:val="00B82BBC"/>
    <w:rsid w:val="00B840F9"/>
    <w:rsid w:val="00B904A6"/>
    <w:rsid w:val="00B917FC"/>
    <w:rsid w:val="00B943A6"/>
    <w:rsid w:val="00B95576"/>
    <w:rsid w:val="00B9584B"/>
    <w:rsid w:val="00BA0422"/>
    <w:rsid w:val="00BA201C"/>
    <w:rsid w:val="00BA4873"/>
    <w:rsid w:val="00BA7EC9"/>
    <w:rsid w:val="00BB135C"/>
    <w:rsid w:val="00BB179A"/>
    <w:rsid w:val="00BB60FE"/>
    <w:rsid w:val="00BC3527"/>
    <w:rsid w:val="00BC3A85"/>
    <w:rsid w:val="00BC539B"/>
    <w:rsid w:val="00BC64BC"/>
    <w:rsid w:val="00BD49B0"/>
    <w:rsid w:val="00BD77CF"/>
    <w:rsid w:val="00BE1BC6"/>
    <w:rsid w:val="00BE29D9"/>
    <w:rsid w:val="00BE3B0F"/>
    <w:rsid w:val="00BE3CEB"/>
    <w:rsid w:val="00BE5E1F"/>
    <w:rsid w:val="00BE6717"/>
    <w:rsid w:val="00BF14D7"/>
    <w:rsid w:val="00BF55F0"/>
    <w:rsid w:val="00C05A7C"/>
    <w:rsid w:val="00C1037F"/>
    <w:rsid w:val="00C1376C"/>
    <w:rsid w:val="00C13E35"/>
    <w:rsid w:val="00C15F2C"/>
    <w:rsid w:val="00C164E9"/>
    <w:rsid w:val="00C173EB"/>
    <w:rsid w:val="00C21075"/>
    <w:rsid w:val="00C249A3"/>
    <w:rsid w:val="00C24A79"/>
    <w:rsid w:val="00C24DAA"/>
    <w:rsid w:val="00C26115"/>
    <w:rsid w:val="00C26801"/>
    <w:rsid w:val="00C33CB2"/>
    <w:rsid w:val="00C358BB"/>
    <w:rsid w:val="00C405F3"/>
    <w:rsid w:val="00C421F3"/>
    <w:rsid w:val="00C45777"/>
    <w:rsid w:val="00C4649F"/>
    <w:rsid w:val="00C47F3A"/>
    <w:rsid w:val="00C50248"/>
    <w:rsid w:val="00C527CD"/>
    <w:rsid w:val="00C54F7C"/>
    <w:rsid w:val="00C57BAE"/>
    <w:rsid w:val="00C639B7"/>
    <w:rsid w:val="00C64091"/>
    <w:rsid w:val="00C66B7D"/>
    <w:rsid w:val="00C66B84"/>
    <w:rsid w:val="00C66FA0"/>
    <w:rsid w:val="00C7564A"/>
    <w:rsid w:val="00C85ABC"/>
    <w:rsid w:val="00C91E56"/>
    <w:rsid w:val="00CA32D6"/>
    <w:rsid w:val="00CA3683"/>
    <w:rsid w:val="00CA6B19"/>
    <w:rsid w:val="00CB39DE"/>
    <w:rsid w:val="00CB4792"/>
    <w:rsid w:val="00CC4576"/>
    <w:rsid w:val="00CC6B63"/>
    <w:rsid w:val="00CD124D"/>
    <w:rsid w:val="00CD65A0"/>
    <w:rsid w:val="00CD709D"/>
    <w:rsid w:val="00CE1831"/>
    <w:rsid w:val="00CE1B14"/>
    <w:rsid w:val="00CE3AEA"/>
    <w:rsid w:val="00CE3BE5"/>
    <w:rsid w:val="00CE7703"/>
    <w:rsid w:val="00CF2EBE"/>
    <w:rsid w:val="00CF3A37"/>
    <w:rsid w:val="00CF47B6"/>
    <w:rsid w:val="00D007AC"/>
    <w:rsid w:val="00D0226F"/>
    <w:rsid w:val="00D02F6D"/>
    <w:rsid w:val="00D12194"/>
    <w:rsid w:val="00D1386B"/>
    <w:rsid w:val="00D13B30"/>
    <w:rsid w:val="00D167AE"/>
    <w:rsid w:val="00D260A3"/>
    <w:rsid w:val="00D30064"/>
    <w:rsid w:val="00D30B85"/>
    <w:rsid w:val="00D341CA"/>
    <w:rsid w:val="00D36A83"/>
    <w:rsid w:val="00D40517"/>
    <w:rsid w:val="00D442A0"/>
    <w:rsid w:val="00D45916"/>
    <w:rsid w:val="00D5066D"/>
    <w:rsid w:val="00D55FAC"/>
    <w:rsid w:val="00D57DFA"/>
    <w:rsid w:val="00D63608"/>
    <w:rsid w:val="00D650B6"/>
    <w:rsid w:val="00D660EC"/>
    <w:rsid w:val="00D704B5"/>
    <w:rsid w:val="00D70B37"/>
    <w:rsid w:val="00D7464B"/>
    <w:rsid w:val="00D774E8"/>
    <w:rsid w:val="00D801E6"/>
    <w:rsid w:val="00D8085E"/>
    <w:rsid w:val="00D80870"/>
    <w:rsid w:val="00D91629"/>
    <w:rsid w:val="00D9287F"/>
    <w:rsid w:val="00D95EF6"/>
    <w:rsid w:val="00D9779E"/>
    <w:rsid w:val="00D97835"/>
    <w:rsid w:val="00DA0D9B"/>
    <w:rsid w:val="00DA273A"/>
    <w:rsid w:val="00DA3126"/>
    <w:rsid w:val="00DA3E64"/>
    <w:rsid w:val="00DA4E49"/>
    <w:rsid w:val="00DB0116"/>
    <w:rsid w:val="00DB2406"/>
    <w:rsid w:val="00DB5829"/>
    <w:rsid w:val="00DC0CF2"/>
    <w:rsid w:val="00DC504A"/>
    <w:rsid w:val="00DC7FBF"/>
    <w:rsid w:val="00DD1ABC"/>
    <w:rsid w:val="00DD2ACB"/>
    <w:rsid w:val="00DD75DB"/>
    <w:rsid w:val="00DE05B8"/>
    <w:rsid w:val="00DE3A92"/>
    <w:rsid w:val="00DE4971"/>
    <w:rsid w:val="00DE5DC5"/>
    <w:rsid w:val="00DF0045"/>
    <w:rsid w:val="00DF1EDB"/>
    <w:rsid w:val="00DF5F06"/>
    <w:rsid w:val="00E01C8C"/>
    <w:rsid w:val="00E01EDB"/>
    <w:rsid w:val="00E05301"/>
    <w:rsid w:val="00E05958"/>
    <w:rsid w:val="00E0763F"/>
    <w:rsid w:val="00E20730"/>
    <w:rsid w:val="00E215CB"/>
    <w:rsid w:val="00E21867"/>
    <w:rsid w:val="00E231ED"/>
    <w:rsid w:val="00E23480"/>
    <w:rsid w:val="00E244F1"/>
    <w:rsid w:val="00E24C48"/>
    <w:rsid w:val="00E25E5C"/>
    <w:rsid w:val="00E2716F"/>
    <w:rsid w:val="00E41631"/>
    <w:rsid w:val="00E45D3C"/>
    <w:rsid w:val="00E52E3C"/>
    <w:rsid w:val="00E54AB5"/>
    <w:rsid w:val="00E630D0"/>
    <w:rsid w:val="00E66060"/>
    <w:rsid w:val="00E66576"/>
    <w:rsid w:val="00E674AB"/>
    <w:rsid w:val="00E71F19"/>
    <w:rsid w:val="00E74119"/>
    <w:rsid w:val="00E753EA"/>
    <w:rsid w:val="00E8002A"/>
    <w:rsid w:val="00E80ED7"/>
    <w:rsid w:val="00E8529A"/>
    <w:rsid w:val="00E871BA"/>
    <w:rsid w:val="00E9485D"/>
    <w:rsid w:val="00E97E6C"/>
    <w:rsid w:val="00EA1E0E"/>
    <w:rsid w:val="00EA668B"/>
    <w:rsid w:val="00EB0333"/>
    <w:rsid w:val="00EB0ECA"/>
    <w:rsid w:val="00EB20CF"/>
    <w:rsid w:val="00EB22C8"/>
    <w:rsid w:val="00EC1267"/>
    <w:rsid w:val="00EC4AE1"/>
    <w:rsid w:val="00EC6E1A"/>
    <w:rsid w:val="00ED0427"/>
    <w:rsid w:val="00ED0BEA"/>
    <w:rsid w:val="00ED2E37"/>
    <w:rsid w:val="00ED397C"/>
    <w:rsid w:val="00ED471B"/>
    <w:rsid w:val="00ED6540"/>
    <w:rsid w:val="00EE0C55"/>
    <w:rsid w:val="00EE1139"/>
    <w:rsid w:val="00EE1CE3"/>
    <w:rsid w:val="00EE32E9"/>
    <w:rsid w:val="00EE3CBD"/>
    <w:rsid w:val="00EE5C4E"/>
    <w:rsid w:val="00EF3B2C"/>
    <w:rsid w:val="00EF4104"/>
    <w:rsid w:val="00EF7303"/>
    <w:rsid w:val="00EF7EA0"/>
    <w:rsid w:val="00F01192"/>
    <w:rsid w:val="00F032FD"/>
    <w:rsid w:val="00F03332"/>
    <w:rsid w:val="00F034C4"/>
    <w:rsid w:val="00F075E1"/>
    <w:rsid w:val="00F077AB"/>
    <w:rsid w:val="00F130F0"/>
    <w:rsid w:val="00F20045"/>
    <w:rsid w:val="00F22EF5"/>
    <w:rsid w:val="00F2335A"/>
    <w:rsid w:val="00F23B21"/>
    <w:rsid w:val="00F24B76"/>
    <w:rsid w:val="00F2555A"/>
    <w:rsid w:val="00F25F20"/>
    <w:rsid w:val="00F26D0B"/>
    <w:rsid w:val="00F323DC"/>
    <w:rsid w:val="00F346B6"/>
    <w:rsid w:val="00F4025C"/>
    <w:rsid w:val="00F4212F"/>
    <w:rsid w:val="00F436BC"/>
    <w:rsid w:val="00F45F56"/>
    <w:rsid w:val="00F54C4D"/>
    <w:rsid w:val="00F564F4"/>
    <w:rsid w:val="00F5771C"/>
    <w:rsid w:val="00F67D6C"/>
    <w:rsid w:val="00F71555"/>
    <w:rsid w:val="00F76553"/>
    <w:rsid w:val="00F779B1"/>
    <w:rsid w:val="00F821DB"/>
    <w:rsid w:val="00F8522E"/>
    <w:rsid w:val="00F90848"/>
    <w:rsid w:val="00F94870"/>
    <w:rsid w:val="00F94A5F"/>
    <w:rsid w:val="00F969A0"/>
    <w:rsid w:val="00F9750C"/>
    <w:rsid w:val="00FA7122"/>
    <w:rsid w:val="00FA74FB"/>
    <w:rsid w:val="00FB2ACE"/>
    <w:rsid w:val="00FB38EF"/>
    <w:rsid w:val="00FB47A0"/>
    <w:rsid w:val="00FB5018"/>
    <w:rsid w:val="00FB6678"/>
    <w:rsid w:val="00FC3A54"/>
    <w:rsid w:val="00FD1F30"/>
    <w:rsid w:val="00FD5D2D"/>
    <w:rsid w:val="00FD6260"/>
    <w:rsid w:val="00FE2779"/>
    <w:rsid w:val="00FE297C"/>
    <w:rsid w:val="00FE503B"/>
    <w:rsid w:val="00FE779D"/>
    <w:rsid w:val="00FF0618"/>
    <w:rsid w:val="00FF49F8"/>
    <w:rsid w:val="00FF4CA1"/>
    <w:rsid w:val="00FF559E"/>
    <w:rsid w:val="00FF6F24"/>
    <w:rsid w:val="00FF7CEF"/>
    <w:rsid w:val="2AEEE189"/>
    <w:rsid w:val="3FBF6F17"/>
    <w:rsid w:val="3FEF29A9"/>
    <w:rsid w:val="3FEFD27A"/>
    <w:rsid w:val="3FFFA2D2"/>
    <w:rsid w:val="5EFFAAD2"/>
    <w:rsid w:val="5F67AF73"/>
    <w:rsid w:val="665F5DBD"/>
    <w:rsid w:val="69330B00"/>
    <w:rsid w:val="69372060"/>
    <w:rsid w:val="6F6C4E84"/>
    <w:rsid w:val="6FFD91A2"/>
    <w:rsid w:val="74EF679A"/>
    <w:rsid w:val="76AB857F"/>
    <w:rsid w:val="776D88C4"/>
    <w:rsid w:val="77FD2ADD"/>
    <w:rsid w:val="7BFBBDF0"/>
    <w:rsid w:val="7CC5CD95"/>
    <w:rsid w:val="7CFF91AE"/>
    <w:rsid w:val="7D77D864"/>
    <w:rsid w:val="7D7D8003"/>
    <w:rsid w:val="7DF7D34C"/>
    <w:rsid w:val="7ECFBA35"/>
    <w:rsid w:val="7EEFCD84"/>
    <w:rsid w:val="7F9FD96B"/>
    <w:rsid w:val="7FE30A97"/>
    <w:rsid w:val="7FFDC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0B73F2"/>
  <w15:docId w15:val="{6A53928E-52BE-4FDC-A85C-32A99818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</w:pPr>
    <w:rPr>
      <w:rFonts w:eastAsia="宋体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3"/>
    <w:next w:val="a"/>
    <w:link w:val="41"/>
    <w:semiHidden/>
    <w:unhideWhenUsed/>
    <w:qFormat/>
    <w:pPr>
      <w:numPr>
        <w:ilvl w:val="3"/>
        <w:numId w:val="1"/>
      </w:numPr>
      <w:spacing w:before="120" w:after="180"/>
      <w:jc w:val="left"/>
      <w:outlineLvl w:val="3"/>
    </w:pPr>
    <w:rPr>
      <w:rFonts w:ascii="Arial" w:eastAsia="Times New Roman" w:hAnsi="Arial" w:cs="Times New Roman"/>
      <w:color w:val="auto"/>
    </w:rPr>
  </w:style>
  <w:style w:type="paragraph" w:styleId="5">
    <w:name w:val="heading 5"/>
    <w:basedOn w:val="4"/>
    <w:next w:val="a"/>
    <w:link w:val="50"/>
    <w:semiHidden/>
    <w:unhideWhenUsed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semiHidden/>
    <w:unhideWhenUsed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semiHidden/>
    <w:unhideWhenUsed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semiHidden/>
    <w:unhideWhenUsed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a5"/>
    <w:uiPriority w:val="99"/>
    <w:unhideWhenUsed/>
  </w:style>
  <w:style w:type="paragraph" w:styleId="a6">
    <w:name w:val="Body Text"/>
    <w:basedOn w:val="a"/>
    <w:link w:val="a7"/>
    <w:unhideWhenUsed/>
    <w:qFormat/>
    <w:rPr>
      <w:rFonts w:eastAsia="Malgun Gothic"/>
    </w:rPr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1">
    <w:name w:val="List 5"/>
    <w:basedOn w:val="a"/>
    <w:uiPriority w:val="99"/>
    <w:semiHidden/>
    <w:unhideWhenUsed/>
    <w:qFormat/>
    <w:pPr>
      <w:ind w:leftChars="800" w:left="100" w:hangingChars="200" w:hanging="200"/>
    </w:pPr>
  </w:style>
  <w:style w:type="paragraph" w:styleId="40">
    <w:name w:val="List 4"/>
    <w:basedOn w:val="a"/>
    <w:uiPriority w:val="99"/>
    <w:semiHidden/>
    <w:unhideWhenUsed/>
    <w:pPr>
      <w:ind w:leftChars="600" w:left="100" w:hangingChars="200" w:hanging="200"/>
    </w:pPr>
  </w:style>
  <w:style w:type="paragraph" w:styleId="ae">
    <w:name w:val="Normal (Web)"/>
    <w:basedOn w:val="a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af">
    <w:name w:val="annotation subject"/>
    <w:basedOn w:val="a4"/>
    <w:next w:val="a4"/>
    <w:link w:val="af0"/>
    <w:uiPriority w:val="99"/>
    <w:semiHidden/>
    <w:unhideWhenUsed/>
    <w:rPr>
      <w:b/>
      <w:bCs/>
    </w:rPr>
  </w:style>
  <w:style w:type="table" w:styleId="af1">
    <w:name w:val="Table Grid"/>
    <w:basedOn w:val="a1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a0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20">
    <w:name w:val="标题 2 字符"/>
    <w:basedOn w:val="a0"/>
    <w:link w:val="2"/>
    <w:rPr>
      <w:rFonts w:ascii="Arial" w:eastAsia="Times New Roman" w:hAnsi="Arial" w:cs="Times New Roman"/>
      <w:sz w:val="32"/>
      <w:szCs w:val="32"/>
      <w:lang w:val="en-GB" w:eastAsia="zh-CN"/>
    </w:rPr>
  </w:style>
  <w:style w:type="character" w:customStyle="1" w:styleId="41">
    <w:name w:val="标题 4 字符1"/>
    <w:basedOn w:val="a0"/>
    <w:link w:val="4"/>
    <w:semiHidden/>
    <w:rPr>
      <w:rFonts w:ascii="Arial" w:eastAsia="Times New Roman" w:hAnsi="Arial" w:cs="Times New Roman"/>
      <w:sz w:val="24"/>
      <w:szCs w:val="24"/>
      <w:lang w:val="en-GB" w:eastAsia="zh-CN"/>
    </w:rPr>
  </w:style>
  <w:style w:type="character" w:customStyle="1" w:styleId="50">
    <w:name w:val="标题 5 字符"/>
    <w:basedOn w:val="a0"/>
    <w:link w:val="5"/>
    <w:semiHidden/>
    <w:qFormat/>
    <w:rPr>
      <w:rFonts w:ascii="Arial" w:eastAsia="Times New Roman" w:hAnsi="Arial" w:cs="Times New Roman"/>
      <w:lang w:val="en-GB" w:eastAsia="zh-CN"/>
    </w:rPr>
  </w:style>
  <w:style w:type="character" w:customStyle="1" w:styleId="60">
    <w:name w:val="标题 6 字符"/>
    <w:basedOn w:val="a0"/>
    <w:link w:val="6"/>
    <w:semiHidden/>
    <w:qFormat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70">
    <w:name w:val="标题 7 字符"/>
    <w:basedOn w:val="a0"/>
    <w:link w:val="7"/>
    <w:semiHidden/>
    <w:qFormat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80">
    <w:name w:val="标题 8 字符"/>
    <w:basedOn w:val="a0"/>
    <w:link w:val="8"/>
    <w:semiHidden/>
    <w:qFormat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90">
    <w:name w:val="标题 9 字符"/>
    <w:basedOn w:val="a0"/>
    <w:link w:val="9"/>
    <w:semiHidden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10">
    <w:name w:val="标题 1 字符"/>
    <w:link w:val="1"/>
    <w:locked/>
    <w:rPr>
      <w:rFonts w:ascii="Arial" w:eastAsia="Times New Roman" w:hAnsi="Arial" w:cs="Times New Roman"/>
      <w:sz w:val="36"/>
      <w:szCs w:val="36"/>
      <w:lang w:val="en-GB" w:eastAsia="zh-CN"/>
    </w:rPr>
  </w:style>
  <w:style w:type="character" w:customStyle="1" w:styleId="a7">
    <w:name w:val="正文文本 字符"/>
    <w:basedOn w:val="a0"/>
    <w:link w:val="a6"/>
    <w:rPr>
      <w:rFonts w:ascii="Arial" w:eastAsia="Malgun Gothic" w:hAnsi="Arial" w:cs="Times New Roman"/>
      <w:sz w:val="20"/>
      <w:szCs w:val="20"/>
      <w:lang w:val="en-GB" w:eastAsia="zh-CN"/>
    </w:rPr>
  </w:style>
  <w:style w:type="character" w:customStyle="1" w:styleId="af3">
    <w:name w:val="列表段落 字符"/>
    <w:link w:val="af4"/>
    <w:uiPriority w:val="34"/>
    <w:qFormat/>
    <w:locked/>
    <w:rPr>
      <w:rFonts w:ascii="Calibri" w:eastAsia="宋体" w:hAnsi="Calibri" w:cs="Calibri"/>
      <w:lang w:val="zh-CN" w:eastAsia="zh-CN"/>
    </w:rPr>
  </w:style>
  <w:style w:type="paragraph" w:styleId="af4">
    <w:name w:val="List Paragraph"/>
    <w:basedOn w:val="a"/>
    <w:link w:val="af3"/>
    <w:uiPriority w:val="34"/>
    <w:qFormat/>
    <w:pPr>
      <w:overflowPunct/>
      <w:autoSpaceDE/>
      <w:autoSpaceDN/>
      <w:adjustRightInd/>
      <w:spacing w:after="0"/>
      <w:ind w:left="720"/>
      <w:jc w:val="left"/>
    </w:pPr>
    <w:rPr>
      <w:rFonts w:ascii="Calibri" w:hAnsi="Calibri" w:cs="Calibri"/>
      <w:sz w:val="22"/>
      <w:szCs w:val="22"/>
      <w:lang w:val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roposalChar">
    <w:name w:val="Proposal Char"/>
    <w:link w:val="Proposal"/>
    <w:locked/>
    <w:rPr>
      <w:rFonts w:ascii="Arial" w:hAnsi="Arial"/>
      <w:b/>
      <w:bCs/>
      <w:lang w:val="zh-CN"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</w:pPr>
    <w:rPr>
      <w:rFonts w:eastAsiaTheme="minorHAnsi" w:cstheme="minorBidi"/>
      <w:b/>
      <w:bCs/>
      <w:sz w:val="22"/>
      <w:szCs w:val="22"/>
      <w:lang w:val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zCs w:val="16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Theme="minorEastAsia" w:hAnsi="Courier New" w:cs="Courier New"/>
      <w:sz w:val="16"/>
      <w:szCs w:val="16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 w:cs="Arial"/>
      <w:sz w:val="22"/>
      <w:szCs w:val="22"/>
      <w:lang w:val="en-GB" w:eastAsia="en-US"/>
    </w:rPr>
  </w:style>
  <w:style w:type="paragraph" w:customStyle="1" w:styleId="References">
    <w:name w:val="References"/>
    <w:basedOn w:val="a"/>
    <w:pPr>
      <w:numPr>
        <w:numId w:val="3"/>
      </w:numPr>
      <w:overflowPunct/>
      <w:adjustRightInd/>
      <w:snapToGrid w:val="0"/>
      <w:spacing w:after="60"/>
    </w:pPr>
    <w:rPr>
      <w:szCs w:val="16"/>
      <w:lang w:eastAsia="en-US"/>
    </w:rPr>
  </w:style>
  <w:style w:type="table" w:customStyle="1" w:styleId="11">
    <w:name w:val="网格型1"/>
    <w:basedOn w:val="a1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US" w:eastAsia="zh-CN"/>
    </w:rPr>
  </w:style>
  <w:style w:type="character" w:customStyle="1" w:styleId="a5">
    <w:name w:val="批注文字 字符"/>
    <w:basedOn w:val="a0"/>
    <w:link w:val="a4"/>
    <w:uiPriority w:val="99"/>
    <w:qFormat/>
    <w:rPr>
      <w:rFonts w:ascii="Arial" w:eastAsia="宋体" w:hAnsi="Arial" w:cs="Times New Roman"/>
      <w:sz w:val="20"/>
      <w:szCs w:val="20"/>
      <w:lang w:val="en-US" w:eastAsia="zh-CN"/>
    </w:rPr>
  </w:style>
  <w:style w:type="character" w:customStyle="1" w:styleId="af0">
    <w:name w:val="批注主题 字符"/>
    <w:basedOn w:val="a5"/>
    <w:link w:val="af"/>
    <w:uiPriority w:val="99"/>
    <w:semiHidden/>
    <w:rPr>
      <w:rFonts w:ascii="Arial" w:eastAsia="宋体" w:hAnsi="Arial" w:cs="Times New Roman"/>
      <w:b/>
      <w:bCs/>
      <w:sz w:val="20"/>
      <w:szCs w:val="20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Pr>
      <w:rFonts w:ascii="Segoe UI" w:eastAsia="宋体" w:hAnsi="Segoe UI" w:cs="Segoe UI"/>
      <w:sz w:val="18"/>
      <w:szCs w:val="18"/>
      <w:lang w:val="en-US" w:eastAsia="zh-CN"/>
    </w:rPr>
  </w:style>
  <w:style w:type="character" w:customStyle="1" w:styleId="ad">
    <w:name w:val="页眉 字符"/>
    <w:basedOn w:val="a0"/>
    <w:link w:val="ac"/>
    <w:uiPriority w:val="99"/>
    <w:rPr>
      <w:rFonts w:ascii="Arial" w:eastAsia="宋体" w:hAnsi="Arial" w:cs="Times New Roman"/>
      <w:sz w:val="18"/>
      <w:szCs w:val="18"/>
      <w:lang w:val="en-US" w:eastAsia="zh-CN"/>
    </w:rPr>
  </w:style>
  <w:style w:type="character" w:customStyle="1" w:styleId="ab">
    <w:name w:val="页脚 字符"/>
    <w:basedOn w:val="a0"/>
    <w:link w:val="aa"/>
    <w:uiPriority w:val="99"/>
    <w:rPr>
      <w:rFonts w:ascii="Arial" w:eastAsia="宋体" w:hAnsi="Arial" w:cs="Times New Roman"/>
      <w:sz w:val="18"/>
      <w:szCs w:val="18"/>
      <w:lang w:val="en-US" w:eastAsia="zh-CN"/>
    </w:rPr>
  </w:style>
  <w:style w:type="character" w:customStyle="1" w:styleId="12">
    <w:name w:val="明显强调1"/>
    <w:basedOn w:val="a0"/>
    <w:uiPriority w:val="21"/>
    <w:qFormat/>
    <w:rPr>
      <w:i/>
      <w:iCs/>
      <w:color w:val="4472C4" w:themeColor="accent1"/>
    </w:rPr>
  </w:style>
  <w:style w:type="paragraph" w:customStyle="1" w:styleId="Agreement">
    <w:name w:val="Agreement"/>
    <w:basedOn w:val="a"/>
    <w:next w:val="a"/>
    <w:uiPriority w:val="99"/>
    <w:qFormat/>
    <w:pPr>
      <w:tabs>
        <w:tab w:val="left" w:pos="1619"/>
      </w:tabs>
      <w:overflowPunct/>
      <w:autoSpaceDE/>
      <w:autoSpaceDN/>
      <w:adjustRightInd/>
      <w:spacing w:before="60" w:after="0"/>
      <w:ind w:left="1619"/>
      <w:jc w:val="left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13">
    <w:name w:val="修订1"/>
    <w:hidden/>
    <w:uiPriority w:val="99"/>
    <w:semiHidden/>
    <w:rPr>
      <w:rFonts w:ascii="Arial" w:eastAsia="宋体" w:hAnsi="Arial"/>
    </w:rPr>
  </w:style>
  <w:style w:type="paragraph" w:customStyle="1" w:styleId="B2">
    <w:name w:val="B2"/>
    <w:basedOn w:val="21"/>
    <w:link w:val="B2Char"/>
    <w:qFormat/>
    <w:pPr>
      <w:widowControl w:val="0"/>
      <w:overflowPunct/>
      <w:autoSpaceDE/>
      <w:autoSpaceDN/>
      <w:adjustRightInd/>
      <w:spacing w:after="180"/>
      <w:ind w:leftChars="0" w:left="851" w:firstLineChars="0" w:hanging="284"/>
      <w:contextualSpacing w:val="0"/>
    </w:pPr>
    <w:rPr>
      <w:rFonts w:asciiTheme="minorHAnsi" w:eastAsia="MS Mincho" w:hAnsiTheme="minorHAnsi" w:cstheme="minorBidi"/>
      <w:kern w:val="2"/>
      <w:sz w:val="21"/>
      <w:szCs w:val="22"/>
    </w:rPr>
  </w:style>
  <w:style w:type="character" w:customStyle="1" w:styleId="B2Char">
    <w:name w:val="B2 Char"/>
    <w:link w:val="B2"/>
    <w:qFormat/>
    <w:rPr>
      <w:rFonts w:eastAsia="MS Mincho"/>
      <w:kern w:val="2"/>
      <w:sz w:val="21"/>
      <w:lang w:eastAsia="zh-CN"/>
    </w:rPr>
  </w:style>
  <w:style w:type="paragraph" w:customStyle="1" w:styleId="B3">
    <w:name w:val="B3"/>
    <w:basedOn w:val="31"/>
    <w:link w:val="B3Char"/>
    <w:qFormat/>
    <w:pPr>
      <w:widowControl w:val="0"/>
      <w:overflowPunct/>
      <w:autoSpaceDE/>
      <w:autoSpaceDN/>
      <w:adjustRightInd/>
      <w:spacing w:after="180"/>
      <w:ind w:leftChars="0" w:left="1135" w:firstLineChars="0" w:hanging="284"/>
      <w:contextualSpacing w:val="0"/>
    </w:pPr>
    <w:rPr>
      <w:rFonts w:asciiTheme="minorHAnsi" w:eastAsia="Times New Roman" w:hAnsiTheme="minorHAnsi" w:cstheme="minorBidi"/>
      <w:snapToGrid w:val="0"/>
      <w:color w:val="000000"/>
      <w:kern w:val="2"/>
      <w:sz w:val="21"/>
      <w:szCs w:val="22"/>
      <w:lang w:eastAsia="ja-JP"/>
    </w:rPr>
  </w:style>
  <w:style w:type="character" w:customStyle="1" w:styleId="B3Char">
    <w:name w:val="B3 Char"/>
    <w:link w:val="B3"/>
    <w:rPr>
      <w:rFonts w:eastAsia="Times New Roman"/>
      <w:snapToGrid w:val="0"/>
      <w:color w:val="000000"/>
      <w:kern w:val="2"/>
      <w:sz w:val="21"/>
      <w:lang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42">
    <w:name w:val="标题 4 字符"/>
    <w:basedOn w:val="a0"/>
    <w:rPr>
      <w:rFonts w:ascii="Arial" w:eastAsia="Times New Roman" w:hAnsi="Arial" w:cs="Arial"/>
      <w:sz w:val="24"/>
      <w:lang w:val="en-US"/>
    </w:rPr>
  </w:style>
  <w:style w:type="character" w:customStyle="1" w:styleId="30">
    <w:name w:val="标题 3 字符"/>
    <w:basedOn w:val="a0"/>
    <w:link w:val="3"/>
    <w:rPr>
      <w:rFonts w:ascii="Times New Roman" w:eastAsia="Times New Roman" w:hAnsi="Times New Roman" w:cs="Times New Roman" w:hint="default"/>
      <w:b/>
      <w:sz w:val="32"/>
      <w:szCs w:val="32"/>
      <w:lang w:val="en-US"/>
    </w:rPr>
  </w:style>
  <w:style w:type="paragraph" w:customStyle="1" w:styleId="B4">
    <w:name w:val="B4"/>
    <w:basedOn w:val="40"/>
    <w:link w:val="B4Char"/>
    <w:pPr>
      <w:spacing w:after="180"/>
      <w:ind w:left="1418" w:hanging="284"/>
      <w:jc w:val="left"/>
    </w:pPr>
    <w:rPr>
      <w:rFonts w:eastAsia="Times New Roman"/>
      <w:lang w:val="en-US"/>
    </w:rPr>
  </w:style>
  <w:style w:type="character" w:customStyle="1" w:styleId="B4Char">
    <w:name w:val="B4 Char"/>
    <w:basedOn w:val="a0"/>
    <w:link w:val="B4"/>
    <w:rPr>
      <w:rFonts w:ascii="Times New Roman" w:eastAsia="Times New Roman" w:hAnsi="Times New Roman" w:cs="Times New Roman" w:hint="default"/>
      <w:lang w:val="en-US"/>
    </w:rPr>
  </w:style>
  <w:style w:type="paragraph" w:customStyle="1" w:styleId="B5">
    <w:name w:val="B5"/>
    <w:basedOn w:val="51"/>
    <w:link w:val="B5Char"/>
    <w:pPr>
      <w:spacing w:after="180"/>
      <w:ind w:left="1702" w:hanging="284"/>
      <w:jc w:val="left"/>
    </w:pPr>
    <w:rPr>
      <w:rFonts w:eastAsia="Times New Roman"/>
      <w:lang w:val="en-US"/>
    </w:rPr>
  </w:style>
  <w:style w:type="character" w:customStyle="1" w:styleId="B5Char">
    <w:name w:val="B5 Char"/>
    <w:basedOn w:val="a0"/>
    <w:link w:val="B5"/>
    <w:rPr>
      <w:rFonts w:ascii="Times New Roman" w:eastAsia="Times New Roman" w:hAnsi="Times New Roman" w:cs="Times New Roman" w:hint="defaul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1460</Words>
  <Characters>8325</Characters>
  <Application>Microsoft Office Word</Application>
  <DocSecurity>0</DocSecurity>
  <Lines>69</Lines>
  <Paragraphs>19</Paragraphs>
  <ScaleCrop>false</ScaleCrop>
  <Company>Huawei Technologies Co., Ltd.</Company>
  <LinksUpToDate>false</LinksUpToDate>
  <CharactersWithSpaces>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Huawei/HiSilicon</dc:creator>
  <cp:lastModifiedBy>Xubin(Huawei)</cp:lastModifiedBy>
  <cp:revision>2</cp:revision>
  <dcterms:created xsi:type="dcterms:W3CDTF">2023-04-09T02:39:00Z</dcterms:created>
  <dcterms:modified xsi:type="dcterms:W3CDTF">2023-09-28T12:03:00Z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(3)64Sg3dJZbMHQMzYJILmiBZg3YkPNqN/gGCU1HrcSSDYqOt5uxHnif1vlufVNt+AKVJkwKQTo
3SIlAH/YKEABhQKC9Y/p7xcd2e4ZzbWquO8jnjmsuLjudPNurGJU6jehx1JAO/XtObc5Un24
vMUqyPbT42QIstg1Rah+8etmJVjcV0o6ZVxbCH5eRu8NCqkxNsNyYS5e0lOKarbugZGUVx5+
RmdLdZPt0wBvcCgJSP</vt:lpwstr>
  </property>
  <property fmtid="{D5CDD505-2E9C-101B-9397-08002B2CF9AE}" pid="3" name="_2015_ms_pID_7253431">
    <vt:lpwstr>oj6XMvvlVw5SExIybDQ6tTS3O4YIiW7BBoODUpOsJvuR45TpLpDISZ
F3JLaSAf7BNJowaCw2kCxkl1dGnn2R7x1FHVYbRoHxR2LnO6N2C5iVntYc6lU7i4ivaDfH9h
NpoIwal+lVTOelsvHnk5enXlUaMWhNz43m48T7vSPyUpvu/4ecR2aZ7bk6SSc13uSd7kYsCp
LE+YX207xGMmLuH96dkbMWioJoKTFxfwTibl</vt:lpwstr>
  </property>
  <property fmtid="{D5CDD505-2E9C-101B-9397-08002B2CF9AE}" pid="4" name="_2015_ms_pID_7253432">
    <vt:lpwstr>cjCI1NBryCnRV+Q+O+akkdI=</vt:lpwstr>
  </property>
  <property fmtid="{D5CDD505-2E9C-101B-9397-08002B2CF9AE}" pid="5" name="KSOProductBuildVer">
    <vt:lpwstr>2052-0.0.0.0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1695002279</vt:lpwstr>
  </property>
</Properties>
</file>